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4"/>
        <w:jc w:val="center"/>
        <w:rPr>
          <w:rFonts w:ascii="宋体" w:hAnsi="宋体" w:cs="宋体"/>
          <w:b/>
          <w:bCs/>
          <w:sz w:val="52"/>
          <w:szCs w:val="52"/>
        </w:rPr>
      </w:pPr>
      <w:bookmarkStart w:id="0" w:name="OLE_LINK1"/>
    </w:p>
    <w:p>
      <w:pPr>
        <w:jc w:val="center"/>
        <w:rPr>
          <w:rFonts w:ascii="仿宋_GB2312" w:hAnsi="仿宋_GB2312" w:eastAsia="仿宋_GB2312" w:cs="仿宋_GB2312"/>
          <w:sz w:val="36"/>
          <w:szCs w:val="36"/>
        </w:rPr>
      </w:pPr>
      <w:r>
        <w:rPr>
          <w:rFonts w:hint="eastAsia" w:ascii="仿宋_GB2312" w:hAnsi="仿宋_GB2312" w:eastAsia="仿宋_GB2312" w:cs="仿宋_GB2312"/>
          <w:b/>
          <w:bCs/>
          <w:sz w:val="52"/>
          <w:szCs w:val="52"/>
        </w:rPr>
        <w:t>宋郢社区2024年公益广告及宣传文印项目</w:t>
      </w:r>
    </w:p>
    <w:p>
      <w:pPr>
        <w:pStyle w:val="2"/>
        <w:ind w:firstLine="720"/>
        <w:rPr>
          <w:rFonts w:ascii="方正小标宋简体" w:hAnsi="方正小标宋简体" w:eastAsia="方正小标宋简体" w:cs="方正小标宋简体"/>
          <w:sz w:val="36"/>
          <w:szCs w:val="36"/>
        </w:rPr>
      </w:pPr>
    </w:p>
    <w:p>
      <w:pPr>
        <w:ind w:firstLine="560"/>
      </w:pPr>
    </w:p>
    <w:p>
      <w:pPr>
        <w:spacing w:line="312" w:lineRule="auto"/>
        <w:ind w:firstLine="1687"/>
        <w:jc w:val="both"/>
        <w:rPr>
          <w:rFonts w:ascii="宋体"/>
          <w:bCs/>
          <w:sz w:val="28"/>
          <w:szCs w:val="28"/>
        </w:rPr>
      </w:pPr>
      <w:r>
        <w:rPr>
          <w:rFonts w:hint="eastAsia" w:ascii="仿宋_GB2312" w:hAnsi="仿宋_GB2312" w:eastAsia="仿宋_GB2312" w:cs="仿宋_GB2312"/>
          <w:b/>
          <w:sz w:val="84"/>
          <w:szCs w:val="84"/>
        </w:rPr>
        <w:t>招 标 文 件</w:t>
      </w:r>
    </w:p>
    <w:p>
      <w:pPr>
        <w:spacing w:line="312" w:lineRule="auto"/>
        <w:jc w:val="center"/>
        <w:rPr>
          <w:rFonts w:ascii="宋体"/>
          <w:bCs/>
          <w:sz w:val="28"/>
          <w:szCs w:val="28"/>
        </w:rPr>
      </w:pPr>
    </w:p>
    <w:p>
      <w:pPr>
        <w:spacing w:line="312" w:lineRule="auto"/>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（自行公开招标）</w:t>
      </w:r>
    </w:p>
    <w:p>
      <w:pPr>
        <w:widowControl/>
        <w:wordWrap w:val="0"/>
        <w:spacing w:line="312" w:lineRule="auto"/>
        <w:ind w:firstLine="2380" w:firstLineChars="850"/>
        <w:rPr>
          <w:rFonts w:ascii="宋体"/>
          <w:bCs/>
          <w:sz w:val="28"/>
          <w:szCs w:val="28"/>
        </w:rPr>
      </w:pPr>
    </w:p>
    <w:p>
      <w:pPr>
        <w:widowControl/>
        <w:wordWrap w:val="0"/>
        <w:spacing w:line="312" w:lineRule="auto"/>
        <w:ind w:firstLine="2380" w:firstLineChars="850"/>
        <w:rPr>
          <w:rFonts w:ascii="宋体"/>
          <w:bCs/>
          <w:sz w:val="28"/>
          <w:szCs w:val="28"/>
        </w:rPr>
      </w:pPr>
    </w:p>
    <w:p>
      <w:pPr>
        <w:spacing w:line="312" w:lineRule="auto"/>
        <w:ind w:firstLine="560"/>
        <w:rPr>
          <w:rFonts w:ascii="宋体"/>
          <w:bCs/>
          <w:szCs w:val="21"/>
        </w:rPr>
      </w:pPr>
    </w:p>
    <w:p>
      <w:pPr>
        <w:spacing w:line="312" w:lineRule="auto"/>
        <w:rPr>
          <w:rFonts w:ascii="宋体"/>
          <w:sz w:val="28"/>
          <w:szCs w:val="28"/>
        </w:rPr>
      </w:pPr>
    </w:p>
    <w:p>
      <w:pPr>
        <w:spacing w:line="312" w:lineRule="auto"/>
        <w:rPr>
          <w:rFonts w:ascii="宋体"/>
          <w:sz w:val="28"/>
          <w:szCs w:val="28"/>
        </w:rPr>
      </w:pPr>
    </w:p>
    <w:p>
      <w:pPr>
        <w:pStyle w:val="3"/>
        <w:ind w:left="420"/>
        <w:rPr>
          <w:rFonts w:ascii="宋体"/>
          <w:sz w:val="28"/>
          <w:szCs w:val="28"/>
        </w:rPr>
      </w:pPr>
    </w:p>
    <w:p>
      <w:pPr>
        <w:pStyle w:val="25"/>
      </w:pPr>
    </w:p>
    <w:p>
      <w:pPr>
        <w:spacing w:beforeLines="100" w:afterLines="100" w:line="312" w:lineRule="auto"/>
        <w:ind w:firstLine="643"/>
        <w:jc w:val="left"/>
        <w:rPr>
          <w:rFonts w:ascii="宋体"/>
          <w:b/>
          <w:sz w:val="32"/>
          <w:szCs w:val="32"/>
        </w:rPr>
      </w:pPr>
    </w:p>
    <w:p>
      <w:pPr>
        <w:ind w:firstLine="321" w:firstLineChars="100"/>
        <w:jc w:val="left"/>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rPr>
        <w:t>招标人</w:t>
      </w:r>
      <w:r>
        <w:rPr>
          <w:rFonts w:hint="eastAsia" w:ascii="仿宋_GB2312" w:hAnsi="仿宋_GB2312" w:eastAsia="仿宋_GB2312" w:cs="仿宋_GB2312"/>
          <w:b/>
          <w:w w:val="66"/>
          <w:sz w:val="32"/>
          <w:szCs w:val="32"/>
        </w:rPr>
        <w:t>：</w:t>
      </w:r>
      <w:r>
        <w:rPr>
          <w:rFonts w:hint="eastAsia" w:ascii="仿宋_GB2312" w:hAnsi="仿宋_GB2312" w:eastAsia="仿宋_GB2312" w:cs="仿宋_GB2312"/>
          <w:b/>
          <w:w w:val="70"/>
          <w:sz w:val="32"/>
          <w:szCs w:val="32"/>
          <w:u w:val="single"/>
        </w:rPr>
        <w:t>滁州经济技术开发区城北新区办事处宋郢社区居民委员会</w:t>
      </w:r>
      <w:r>
        <w:rPr>
          <w:rFonts w:hint="eastAsia" w:ascii="仿宋_GB2312" w:hAnsi="仿宋_GB2312" w:eastAsia="仿宋_GB2312" w:cs="仿宋_GB2312"/>
          <w:b/>
          <w:sz w:val="32"/>
          <w:szCs w:val="32"/>
        </w:rPr>
        <w:t>（盖章）</w:t>
      </w:r>
    </w:p>
    <w:p>
      <w:pPr>
        <w:ind w:firstLine="643"/>
        <w:jc w:val="center"/>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rPr>
        <w:t>招标代理机构：</w:t>
      </w:r>
      <w:r>
        <w:rPr>
          <w:rFonts w:hint="eastAsia" w:ascii="仿宋_GB2312" w:hAnsi="仿宋_GB2312" w:eastAsia="仿宋_GB2312" w:cs="仿宋_GB2312"/>
          <w:b/>
          <w:sz w:val="32"/>
          <w:szCs w:val="32"/>
          <w:u w:val="single"/>
        </w:rPr>
        <w:t>安徽求是工程建设咨询有限公司</w:t>
      </w:r>
      <w:r>
        <w:rPr>
          <w:rFonts w:hint="eastAsia" w:ascii="仿宋_GB2312" w:hAnsi="仿宋_GB2312" w:eastAsia="仿宋_GB2312" w:cs="仿宋_GB2312"/>
          <w:b/>
          <w:sz w:val="32"/>
          <w:szCs w:val="32"/>
        </w:rPr>
        <w:t>（盖章）</w:t>
      </w:r>
    </w:p>
    <w:p>
      <w:pPr>
        <w:spacing w:beforeLines="100" w:afterLines="100" w:line="312" w:lineRule="auto"/>
        <w:ind w:firstLine="643"/>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u w:val="single"/>
        </w:rPr>
        <w:t xml:space="preserve">2024  </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u w:val="single"/>
        </w:rPr>
        <w:t xml:space="preserve">  4  </w:t>
      </w:r>
      <w:r>
        <w:rPr>
          <w:rFonts w:hint="eastAsia" w:ascii="仿宋_GB2312" w:hAnsi="仿宋_GB2312" w:eastAsia="仿宋_GB2312" w:cs="仿宋_GB2312"/>
          <w:b/>
          <w:sz w:val="32"/>
          <w:szCs w:val="32"/>
        </w:rPr>
        <w:t>月</w:t>
      </w:r>
    </w:p>
    <w:p>
      <w:pPr>
        <w:pStyle w:val="2"/>
      </w:pPr>
    </w:p>
    <w:p>
      <w:pPr>
        <w:spacing w:line="312" w:lineRule="auto"/>
        <w:ind w:firstLine="723"/>
        <w:jc w:val="center"/>
        <w:rPr>
          <w:rStyle w:val="44"/>
          <w:rFonts w:ascii="宋体" w:hAnsi="宋体"/>
          <w:szCs w:val="21"/>
        </w:rPr>
      </w:pPr>
      <w:r>
        <w:rPr>
          <w:rFonts w:hint="eastAsia"/>
          <w:b/>
          <w:sz w:val="36"/>
        </w:rPr>
        <w:t>目录</w:t>
      </w:r>
    </w:p>
    <w:p>
      <w:pPr>
        <w:pStyle w:val="25"/>
        <w:tabs>
          <w:tab w:val="right" w:leader="dot" w:pos="8306"/>
        </w:tabs>
        <w:spacing w:line="360" w:lineRule="auto"/>
        <w:rPr>
          <w:rFonts w:ascii="仿宋_GB2312" w:hAnsi="仿宋_GB2312" w:eastAsia="仿宋_GB2312" w:cs="仿宋_GB2312"/>
          <w:sz w:val="28"/>
          <w:szCs w:val="28"/>
        </w:rPr>
      </w:pPr>
      <w:r>
        <w:rPr>
          <w:rFonts w:hint="eastAsia" w:ascii="宋体" w:hAnsi="宋体"/>
          <w:szCs w:val="21"/>
        </w:rPr>
        <w:fldChar w:fldCharType="begin"/>
      </w:r>
      <w:r>
        <w:rPr>
          <w:rStyle w:val="44"/>
          <w:rFonts w:hint="eastAsia" w:ascii="宋体" w:hAnsi="宋体"/>
          <w:szCs w:val="21"/>
        </w:rPr>
        <w:instrText xml:space="preserve"> TOC \o "1-3" \h \z \u </w:instrText>
      </w:r>
      <w:r>
        <w:rPr>
          <w:rFonts w:hint="eastAsia" w:ascii="宋体" w:hAnsi="宋体"/>
          <w:szCs w:val="21"/>
        </w:rPr>
        <w:fldChar w:fldCharType="separate"/>
      </w:r>
      <w:r>
        <w:rPr>
          <w:rFonts w:hint="eastAsia" w:ascii="仿宋_GB2312" w:hAnsi="仿宋_GB2312" w:eastAsia="仿宋_GB2312" w:cs="仿宋_GB2312"/>
          <w:sz w:val="28"/>
          <w:szCs w:val="28"/>
        </w:rPr>
        <w:fldChar w:fldCharType="begin"/>
      </w:r>
      <w:r>
        <w:rPr>
          <w:rStyle w:val="44"/>
          <w:rFonts w:hint="eastAsia" w:ascii="仿宋_GB2312" w:hAnsi="仿宋_GB2312" w:eastAsia="仿宋_GB2312" w:cs="仿宋_GB2312"/>
          <w:sz w:val="28"/>
          <w:szCs w:val="28"/>
        </w:rPr>
        <w:instrText xml:space="preserve"> TOC \o "1-3" \h \z \u </w:instrText>
      </w:r>
      <w:r>
        <w:rPr>
          <w:rFonts w:hint="eastAsia" w:ascii="仿宋_GB2312" w:hAnsi="仿宋_GB2312" w:eastAsia="仿宋_GB2312" w:cs="仿宋_GB2312"/>
          <w:sz w:val="28"/>
          <w:szCs w:val="28"/>
        </w:rPr>
        <w:fldChar w:fldCharType="separate"/>
      </w:r>
    </w:p>
    <w:p>
      <w:pPr>
        <w:pStyle w:val="25"/>
        <w:tabs>
          <w:tab w:val="right" w:leader="dot" w:pos="8306"/>
        </w:tabs>
        <w:spacing w:line="360" w:lineRule="exact"/>
        <w:rPr>
          <w:rFonts w:ascii="仿宋_GB2312" w:hAnsi="仿宋_GB2312" w:eastAsia="仿宋_GB2312" w:cs="仿宋_GB2312"/>
          <w:sz w:val="28"/>
          <w:szCs w:val="28"/>
        </w:rPr>
      </w:pPr>
      <w:r>
        <w:fldChar w:fldCharType="begin"/>
      </w:r>
      <w:r>
        <w:instrText xml:space="preserve"> HYPERLINK \l "_Toc14627" </w:instrText>
      </w:r>
      <w:r>
        <w:fldChar w:fldCharType="separate"/>
      </w:r>
      <w:r>
        <w:rPr>
          <w:rFonts w:hint="eastAsia" w:ascii="仿宋_GB2312" w:hAnsi="仿宋_GB2312" w:eastAsia="仿宋_GB2312" w:cs="仿宋_GB2312"/>
          <w:bCs/>
          <w:sz w:val="28"/>
          <w:szCs w:val="28"/>
        </w:rPr>
        <w:t>第一章 招采方案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end"/>
      </w:r>
    </w:p>
    <w:p>
      <w:pPr>
        <w:pStyle w:val="25"/>
        <w:tabs>
          <w:tab w:val="right" w:leader="dot" w:pos="8306"/>
        </w:tabs>
        <w:spacing w:line="360" w:lineRule="exact"/>
        <w:rPr>
          <w:rFonts w:ascii="仿宋_GB2312" w:hAnsi="仿宋_GB2312" w:eastAsia="仿宋_GB2312" w:cs="仿宋_GB2312"/>
          <w:sz w:val="28"/>
          <w:szCs w:val="28"/>
        </w:rPr>
      </w:pPr>
      <w:r>
        <w:fldChar w:fldCharType="begin"/>
      </w:r>
      <w:r>
        <w:instrText xml:space="preserve"> HYPERLINK \l "_Toc16138" </w:instrText>
      </w:r>
      <w:r>
        <w:fldChar w:fldCharType="separate"/>
      </w:r>
      <w:r>
        <w:rPr>
          <w:rFonts w:hint="eastAsia" w:ascii="仿宋_GB2312" w:hAnsi="仿宋_GB2312" w:eastAsia="仿宋_GB2312" w:cs="仿宋_GB2312"/>
          <w:sz w:val="28"/>
          <w:szCs w:val="28"/>
        </w:rPr>
        <w:t>第二章 投标人须知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p>
    <w:p>
      <w:pPr>
        <w:pStyle w:val="25"/>
        <w:tabs>
          <w:tab w:val="right" w:leader="dot" w:pos="8306"/>
        </w:tabs>
        <w:spacing w:line="360" w:lineRule="exact"/>
        <w:rPr>
          <w:rFonts w:ascii="仿宋_GB2312" w:hAnsi="仿宋_GB2312" w:eastAsia="仿宋_GB2312" w:cs="仿宋_GB2312"/>
          <w:sz w:val="28"/>
          <w:szCs w:val="28"/>
        </w:rPr>
      </w:pPr>
      <w:r>
        <w:fldChar w:fldCharType="begin"/>
      </w:r>
      <w:r>
        <w:instrText xml:space="preserve"> HYPERLINK \l "_Toc4436" </w:instrText>
      </w:r>
      <w:r>
        <w:fldChar w:fldCharType="separate"/>
      </w:r>
      <w:r>
        <w:rPr>
          <w:rFonts w:hint="eastAsia" w:ascii="仿宋_GB2312" w:hAnsi="仿宋_GB2312" w:eastAsia="仿宋_GB2312" w:cs="仿宋_GB2312"/>
          <w:sz w:val="28"/>
          <w:szCs w:val="28"/>
        </w:rPr>
        <w:t>第三章 评标办法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9</w:t>
      </w:r>
    </w:p>
    <w:p>
      <w:pPr>
        <w:pStyle w:val="25"/>
        <w:tabs>
          <w:tab w:val="right" w:leader="dot" w:pos="8306"/>
        </w:tabs>
        <w:spacing w:line="360" w:lineRule="exact"/>
        <w:rPr>
          <w:rFonts w:ascii="仿宋_GB2312" w:hAnsi="仿宋_GB2312" w:eastAsia="仿宋_GB2312" w:cs="仿宋_GB2312"/>
          <w:sz w:val="28"/>
          <w:szCs w:val="28"/>
        </w:rPr>
      </w:pPr>
      <w:r>
        <w:fldChar w:fldCharType="begin"/>
      </w:r>
      <w:r>
        <w:instrText xml:space="preserve"> HYPERLINK \l "_Toc11666" </w:instrText>
      </w:r>
      <w:r>
        <w:fldChar w:fldCharType="separate"/>
      </w:r>
      <w:r>
        <w:rPr>
          <w:rFonts w:hint="eastAsia" w:ascii="仿宋_GB2312" w:hAnsi="仿宋_GB2312" w:eastAsia="仿宋_GB2312" w:cs="仿宋_GB2312"/>
          <w:kern w:val="0"/>
          <w:sz w:val="28"/>
          <w:szCs w:val="28"/>
        </w:rPr>
        <w:t>第四章 采购需求及要求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4</w:t>
      </w:r>
    </w:p>
    <w:p>
      <w:pPr>
        <w:pStyle w:val="25"/>
        <w:tabs>
          <w:tab w:val="right" w:leader="dot" w:pos="8306"/>
        </w:tabs>
        <w:spacing w:line="360" w:lineRule="exact"/>
        <w:rPr>
          <w:rFonts w:ascii="仿宋_GB2312" w:hAnsi="仿宋_GB2312" w:eastAsia="仿宋_GB2312" w:cs="仿宋_GB2312"/>
          <w:sz w:val="28"/>
          <w:szCs w:val="28"/>
        </w:rPr>
      </w:pPr>
      <w:r>
        <w:fldChar w:fldCharType="begin"/>
      </w:r>
      <w:r>
        <w:instrText xml:space="preserve"> HYPERLINK \l "_Toc22085" </w:instrText>
      </w:r>
      <w:r>
        <w:fldChar w:fldCharType="separate"/>
      </w:r>
      <w:r>
        <w:rPr>
          <w:rFonts w:hint="eastAsia" w:ascii="仿宋_GB2312" w:hAnsi="仿宋_GB2312" w:eastAsia="仿宋_GB2312" w:cs="仿宋_GB2312"/>
          <w:sz w:val="28"/>
          <w:szCs w:val="28"/>
        </w:rPr>
        <w:t>第五章 合同条款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7</w:t>
      </w:r>
    </w:p>
    <w:p>
      <w:pPr>
        <w:pStyle w:val="25"/>
        <w:tabs>
          <w:tab w:val="right" w:leader="dot" w:pos="8306"/>
        </w:tabs>
        <w:spacing w:line="360" w:lineRule="exact"/>
        <w:rPr>
          <w:rFonts w:ascii="仿宋_GB2312" w:hAnsi="仿宋_GB2312" w:eastAsia="仿宋_GB2312" w:cs="仿宋_GB2312"/>
          <w:sz w:val="28"/>
          <w:szCs w:val="28"/>
        </w:rPr>
      </w:pPr>
      <w:r>
        <w:fldChar w:fldCharType="begin"/>
      </w:r>
      <w:r>
        <w:instrText xml:space="preserve"> HYPERLINK \l "_Toc22085" </w:instrText>
      </w:r>
      <w:r>
        <w:fldChar w:fldCharType="separate"/>
      </w:r>
      <w:r>
        <w:rPr>
          <w:rFonts w:hint="eastAsia" w:ascii="仿宋_GB2312" w:hAnsi="仿宋_GB2312" w:eastAsia="仿宋_GB2312" w:cs="仿宋_GB2312"/>
          <w:sz w:val="28"/>
          <w:szCs w:val="28"/>
        </w:rPr>
        <w:t>第六章 投标文件格式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9</w:t>
      </w:r>
    </w:p>
    <w:p>
      <w:pPr>
        <w:pStyle w:val="25"/>
        <w:tabs>
          <w:tab w:val="right" w:leader="dot" w:pos="8306"/>
        </w:tabs>
        <w:spacing w:line="360" w:lineRule="exact"/>
        <w:rPr>
          <w:rFonts w:ascii="仿宋_GB2312" w:hAnsi="仿宋_GB2312" w:eastAsia="仿宋_GB2312" w:cs="仿宋_GB2312"/>
          <w:sz w:val="28"/>
          <w:szCs w:val="28"/>
        </w:rPr>
      </w:pPr>
      <w:r>
        <w:fldChar w:fldCharType="begin"/>
      </w:r>
      <w:r>
        <w:instrText xml:space="preserve"> HYPERLINK \l "_Toc30008" </w:instrText>
      </w:r>
      <w:r>
        <w:fldChar w:fldCharType="separate"/>
      </w:r>
      <w:r>
        <w:rPr>
          <w:rFonts w:hint="eastAsia" w:ascii="仿宋_GB2312" w:hAnsi="仿宋_GB2312" w:eastAsia="仿宋_GB2312" w:cs="仿宋_GB2312"/>
          <w:sz w:val="28"/>
          <w:szCs w:val="28"/>
        </w:rPr>
        <w:t>第七章 招标单位、招标代理机构对本招标文件的确认</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0</w:t>
      </w:r>
    </w:p>
    <w:p>
      <w:pPr>
        <w:pStyle w:val="25"/>
        <w:tabs>
          <w:tab w:val="right" w:leader="dot" w:pos="8306"/>
        </w:tabs>
        <w:spacing w:line="360" w:lineRule="auto"/>
      </w:pPr>
      <w:r>
        <w:rPr>
          <w:rFonts w:hint="eastAsia" w:ascii="仿宋_GB2312" w:hAnsi="仿宋_GB2312" w:eastAsia="仿宋_GB2312" w:cs="仿宋_GB2312"/>
          <w:sz w:val="28"/>
          <w:szCs w:val="28"/>
        </w:rPr>
        <w:fldChar w:fldCharType="end"/>
      </w:r>
    </w:p>
    <w:p>
      <w:pPr>
        <w:pStyle w:val="18"/>
        <w:tabs>
          <w:tab w:val="clear" w:pos="9288"/>
        </w:tabs>
        <w:spacing w:line="312" w:lineRule="auto"/>
        <w:ind w:left="840"/>
        <w:rPr>
          <w:b/>
          <w:bCs/>
          <w:sz w:val="32"/>
          <w:szCs w:val="32"/>
        </w:rPr>
        <w:sectPr>
          <w:headerReference r:id="rId4" w:type="first"/>
          <w:headerReference r:id="rId3" w:type="default"/>
          <w:footerReference r:id="rId5" w:type="default"/>
          <w:footerReference r:id="rId6" w:type="even"/>
          <w:pgSz w:w="11906" w:h="16838"/>
          <w:pgMar w:top="1440" w:right="1800" w:bottom="1440" w:left="1800" w:header="851" w:footer="992" w:gutter="0"/>
          <w:pgNumType w:start="1"/>
          <w:cols w:space="720" w:num="1"/>
          <w:docGrid w:type="lines" w:linePitch="312" w:charSpace="0"/>
        </w:sectPr>
      </w:pPr>
      <w:r>
        <w:rPr>
          <w:rFonts w:hint="eastAsia" w:hAnsi="宋体"/>
          <w:szCs w:val="21"/>
        </w:rPr>
        <w:fldChar w:fldCharType="end"/>
      </w:r>
    </w:p>
    <w:p>
      <w:pPr>
        <w:spacing w:line="360" w:lineRule="exact"/>
        <w:ind w:right="-334" w:rightChars="-159"/>
        <w:jc w:val="center"/>
        <w:rPr>
          <w:rFonts w:ascii="宋体"/>
          <w:b/>
          <w:bCs/>
          <w:sz w:val="32"/>
          <w:szCs w:val="32"/>
          <w:highlight w:val="none"/>
        </w:rPr>
      </w:pPr>
      <w:bookmarkStart w:id="1" w:name="_Toc14627"/>
      <w:bookmarkEnd w:id="1"/>
      <w:bookmarkStart w:id="2" w:name="_Toc21262"/>
      <w:bookmarkEnd w:id="2"/>
      <w:bookmarkStart w:id="3" w:name="_Toc16138"/>
      <w:bookmarkStart w:id="4" w:name="_Toc7075"/>
      <w:r>
        <w:rPr>
          <w:rFonts w:hint="eastAsia" w:ascii="宋体"/>
          <w:b/>
          <w:bCs/>
          <w:sz w:val="32"/>
          <w:szCs w:val="32"/>
          <w:highlight w:val="none"/>
        </w:rPr>
        <w:t>宋郢社区2024年公益广告及宣传文印项目招采方案</w:t>
      </w:r>
    </w:p>
    <w:p>
      <w:pPr>
        <w:spacing w:line="360" w:lineRule="auto"/>
        <w:ind w:right="-334" w:rightChars="-159" w:firstLine="562"/>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一、采购项目名称及内容</w:t>
      </w:r>
    </w:p>
    <w:p>
      <w:pPr>
        <w:spacing w:line="500" w:lineRule="exact"/>
        <w:ind w:right="-334" w:rightChars="-159"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1.项目名称：宋郢社区2024年公益广告及宣传文印项目</w:t>
      </w:r>
    </w:p>
    <w:p>
      <w:pPr>
        <w:spacing w:line="500" w:lineRule="exact"/>
        <w:ind w:right="-334" w:rightChars="-159"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2.项目单位：滁州经济技术开发区城北新区办事处宋郢社区居民委员会</w:t>
      </w:r>
    </w:p>
    <w:p>
      <w:pPr>
        <w:spacing w:line="500" w:lineRule="exact"/>
        <w:ind w:right="-334" w:rightChars="-159"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3.项目预算：伍万元整（￥50000.00元）</w:t>
      </w:r>
    </w:p>
    <w:p>
      <w:pPr>
        <w:spacing w:line="500" w:lineRule="exact"/>
        <w:ind w:right="-334" w:rightChars="-159"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4.服务期限：自合同签订之日起12个月</w:t>
      </w:r>
    </w:p>
    <w:p>
      <w:pPr>
        <w:spacing w:line="500" w:lineRule="exact"/>
        <w:ind w:right="-334" w:rightChars="-159"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5.质量要求：根据要求及时完成制作安装，同时每项要有明确的交货清单。</w:t>
      </w:r>
    </w:p>
    <w:p>
      <w:pPr>
        <w:spacing w:line="500" w:lineRule="exact"/>
        <w:ind w:right="-334" w:rightChars="-159"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6.采购需求：详见招标文件</w:t>
      </w:r>
    </w:p>
    <w:p>
      <w:pPr>
        <w:spacing w:line="500" w:lineRule="exact"/>
        <w:ind w:right="-334" w:rightChars="-159"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7.验收标准：验收合格</w:t>
      </w:r>
    </w:p>
    <w:p>
      <w:pPr>
        <w:spacing w:line="500" w:lineRule="exact"/>
        <w:ind w:right="-334" w:rightChars="-159" w:firstLine="562"/>
        <w:rPr>
          <w:rFonts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二、企业资质要求：</w:t>
      </w:r>
      <w:r>
        <w:rPr>
          <w:rFonts w:hint="eastAsia" w:ascii="仿宋_GB2312" w:hAnsi="仿宋_GB2312" w:eastAsia="仿宋_GB2312" w:cs="仿宋_GB2312"/>
          <w:sz w:val="28"/>
          <w:szCs w:val="28"/>
          <w:highlight w:val="none"/>
        </w:rPr>
        <w:t>具有设计、制作、发布、或代理国内各类广告经营范围</w:t>
      </w:r>
    </w:p>
    <w:p>
      <w:pPr>
        <w:spacing w:line="500" w:lineRule="exact"/>
        <w:ind w:right="-334" w:rightChars="-159" w:firstLine="562"/>
        <w:rPr>
          <w:rFonts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三、发包价：</w:t>
      </w:r>
      <w:r>
        <w:rPr>
          <w:rFonts w:hint="eastAsia" w:ascii="仿宋_GB2312" w:hAnsi="仿宋_GB2312" w:eastAsia="仿宋_GB2312" w:cs="仿宋_GB2312"/>
          <w:sz w:val="28"/>
          <w:szCs w:val="28"/>
          <w:highlight w:val="none"/>
        </w:rPr>
        <w:t>最高投标限价下浮15%：12336.4 *（100%-15%）=10485.94元；</w:t>
      </w:r>
    </w:p>
    <w:p>
      <w:pPr>
        <w:spacing w:line="500" w:lineRule="exact"/>
        <w:ind w:right="-334" w:rightChars="-159" w:firstLine="562"/>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四、现场文件的递交及要求</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投标人的法定代表人（或委托代理人）应当参加开标会议，投标人在开标时必须携带（手持或封入文件袋中均视为携带）下列证件的原件（或复印件加盖单位公章），以供资格审查，否则，该投标人的投标文件将被拒绝。</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①法定代表人证明文件和本人身份证复印件(或法定代表人授权委托书和委托代理人身份证复印件)，另身份证原件需携带至现场审查；</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②投标人具有独立法人资格以及相应的经营范围，并且具有有效的营业执照、组织机构代码证、税务登记证（或三证合一证件）；</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③报价材料（加盖公章）；</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④相关资质证明文件。</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2.供应商应当将上述①-④项文件密封在一个文件袋内，投标文件密封袋上应写明供应商名称和地址、邮政编码，采购项目名称，并加盖供应商印章，否则，该投标文件将被拒绝。</w:t>
      </w:r>
    </w:p>
    <w:p>
      <w:pPr>
        <w:spacing w:line="500" w:lineRule="exact"/>
        <w:ind w:right="-334" w:rightChars="-159" w:firstLine="562"/>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五、评定方式</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招标人现场采取随机抽取的方式确定3名预中标候选人，并按照抽取的顺序依次排名。评审小组对预中标候选人的投标文件进行评审，按抽取排名顺序推荐中标候选人，如第一名预中标候选人评审不合格，则推荐第二名为第一中标候选人。若3名预中标候选人评审均不合格，将按上述办法重新抽取确定3名预中标候选人。</w:t>
      </w:r>
    </w:p>
    <w:p>
      <w:pPr>
        <w:spacing w:line="500" w:lineRule="exact"/>
        <w:ind w:right="-334" w:rightChars="-159" w:firstLine="562"/>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六、采购时间及地点</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1.采购时间2024年月日时 分                 </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2.采购地点：滁州经济技术开发区城北新区办事处宋郢社区居民委员会</w:t>
      </w:r>
    </w:p>
    <w:p>
      <w:pPr>
        <w:spacing w:line="500" w:lineRule="exact"/>
        <w:ind w:right="-334" w:rightChars="-159" w:firstLine="562"/>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七、投标联系方式</w:t>
      </w:r>
    </w:p>
    <w:p>
      <w:pPr>
        <w:spacing w:line="500" w:lineRule="exact"/>
        <w:ind w:left="6639" w:leftChars="228" w:right="-334" w:rightChars="-159" w:hanging="6160" w:hangingChars="2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招标人：滁州经济技术开发区城北新区办事处宋郢社区居民委员会</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办公地址：安徽省滁州市九华山路238号（金燕小区南门）</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 系 人：王登耀、马立新</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联系电话：0550-3591311</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招标代理单位 ：安徽求是工程建设咨询有限公司                                  </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办公地址： 滁州市长江商贸城B区1栋                                     </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联系人 ： 戴婷</w:t>
      </w:r>
    </w:p>
    <w:p>
      <w:pPr>
        <w:spacing w:line="500" w:lineRule="exact"/>
        <w:ind w:right="-334" w:rightChars="-159"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联系电话：18755006155</w:t>
      </w:r>
    </w:p>
    <w:p>
      <w:pPr>
        <w:spacing w:line="500" w:lineRule="exact"/>
        <w:ind w:right="-334" w:rightChars="-159" w:firstLine="562"/>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八、其他要求 </w:t>
      </w:r>
    </w:p>
    <w:p>
      <w:pPr>
        <w:pageBreakBefore/>
        <w:spacing w:beforeLines="50" w:afterLines="50" w:line="440" w:lineRule="exact"/>
        <w:ind w:firstLine="2530" w:firstLineChars="900"/>
        <w:outlineLvl w:val="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第二章 投标人须知</w:t>
      </w:r>
      <w:bookmarkEnd w:id="3"/>
      <w:bookmarkEnd w:id="4"/>
    </w:p>
    <w:p>
      <w:pPr>
        <w:snapToGrid w:val="0"/>
        <w:spacing w:line="440" w:lineRule="exact"/>
        <w:ind w:firstLine="2249" w:firstLineChars="800"/>
        <w:outlineLvl w:val="1"/>
        <w:rPr>
          <w:rFonts w:ascii="仿宋_GB2312" w:hAnsi="仿宋_GB2312" w:eastAsia="仿宋_GB2312" w:cs="仿宋_GB2312"/>
          <w:b/>
          <w:sz w:val="28"/>
          <w:szCs w:val="28"/>
          <w:highlight w:val="none"/>
        </w:rPr>
      </w:pPr>
      <w:bookmarkStart w:id="5" w:name="_Toc30050"/>
      <w:bookmarkStart w:id="6" w:name="_Toc22789"/>
      <w:bookmarkStart w:id="7" w:name="_Toc449028865"/>
      <w:r>
        <w:rPr>
          <w:rFonts w:hint="eastAsia" w:ascii="仿宋_GB2312" w:hAnsi="仿宋_GB2312" w:eastAsia="仿宋_GB2312" w:cs="仿宋_GB2312"/>
          <w:b/>
          <w:sz w:val="28"/>
          <w:szCs w:val="28"/>
          <w:highlight w:val="none"/>
        </w:rPr>
        <w:t>一、投标人须知前附表</w:t>
      </w:r>
      <w:bookmarkEnd w:id="5"/>
      <w:bookmarkEnd w:id="6"/>
      <w:bookmarkEnd w:id="7"/>
    </w:p>
    <w:tbl>
      <w:tblPr>
        <w:tblStyle w:val="33"/>
        <w:tblW w:w="10166"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58"/>
        <w:gridCol w:w="1740"/>
        <w:gridCol w:w="746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6" w:hRule="atLeast"/>
          <w:jc w:val="center"/>
        </w:trPr>
        <w:tc>
          <w:tcPr>
            <w:tcW w:w="958" w:type="dxa"/>
            <w:vAlign w:val="center"/>
          </w:tcPr>
          <w:p>
            <w:pPr>
              <w:pStyle w:val="19"/>
              <w:spacing w:line="312" w:lineRule="auto"/>
              <w:ind w:firstLine="562"/>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条款号</w:t>
            </w:r>
          </w:p>
        </w:tc>
        <w:tc>
          <w:tcPr>
            <w:tcW w:w="1740" w:type="dxa"/>
            <w:vAlign w:val="center"/>
          </w:tcPr>
          <w:p>
            <w:pPr>
              <w:pStyle w:val="19"/>
              <w:spacing w:line="312" w:lineRule="auto"/>
              <w:ind w:firstLine="562"/>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内容</w:t>
            </w:r>
          </w:p>
        </w:tc>
        <w:tc>
          <w:tcPr>
            <w:tcW w:w="7468" w:type="dxa"/>
            <w:vAlign w:val="center"/>
          </w:tcPr>
          <w:p>
            <w:pPr>
              <w:pStyle w:val="19"/>
              <w:spacing w:line="312" w:lineRule="auto"/>
              <w:ind w:firstLine="562"/>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55"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1.1</w:t>
            </w:r>
          </w:p>
        </w:tc>
        <w:tc>
          <w:tcPr>
            <w:tcW w:w="1740" w:type="dxa"/>
            <w:vAlign w:val="center"/>
          </w:tcPr>
          <w:p>
            <w:pPr>
              <w:spacing w:line="312" w:lineRule="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项目名称</w:t>
            </w:r>
          </w:p>
        </w:tc>
        <w:tc>
          <w:tcPr>
            <w:tcW w:w="7468" w:type="dxa"/>
            <w:vAlign w:val="center"/>
          </w:tcPr>
          <w:p>
            <w:pPr>
              <w:spacing w:line="340" w:lineRule="exact"/>
              <w:ind w:right="-334" w:rightChars="-15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宋郢社区2024年公益广告及宣传文印项目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96"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2.1</w:t>
            </w:r>
          </w:p>
        </w:tc>
        <w:tc>
          <w:tcPr>
            <w:tcW w:w="1740" w:type="dxa"/>
            <w:vAlign w:val="center"/>
          </w:tcPr>
          <w:p>
            <w:pPr>
              <w:spacing w:line="312" w:lineRule="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供货期（服务期）</w:t>
            </w:r>
          </w:p>
        </w:tc>
        <w:tc>
          <w:tcPr>
            <w:tcW w:w="7468" w:type="dxa"/>
            <w:vAlign w:val="center"/>
          </w:tcPr>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自合同签订之日期12个月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4"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3.1</w:t>
            </w:r>
          </w:p>
        </w:tc>
        <w:tc>
          <w:tcPr>
            <w:tcW w:w="1740" w:type="dxa"/>
            <w:vAlign w:val="center"/>
          </w:tcPr>
          <w:p>
            <w:pPr>
              <w:pStyle w:val="19"/>
              <w:spacing w:line="312"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服务地点</w:t>
            </w:r>
          </w:p>
        </w:tc>
        <w:tc>
          <w:tcPr>
            <w:tcW w:w="7468" w:type="dxa"/>
            <w:vAlign w:val="center"/>
          </w:tcPr>
          <w:p>
            <w:pPr>
              <w:spacing w:line="340" w:lineRule="exact"/>
              <w:ind w:right="-334" w:rightChars="-15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滁州经济技术开发区城北新区办事处宋郢社区居民委员会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8"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4.1</w:t>
            </w:r>
          </w:p>
        </w:tc>
        <w:tc>
          <w:tcPr>
            <w:tcW w:w="1740" w:type="dxa"/>
            <w:vAlign w:val="center"/>
          </w:tcPr>
          <w:p>
            <w:pPr>
              <w:pStyle w:val="19"/>
              <w:spacing w:line="312"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招标人联系人及电话</w:t>
            </w:r>
          </w:p>
        </w:tc>
        <w:tc>
          <w:tcPr>
            <w:tcW w:w="7468" w:type="dxa"/>
            <w:vAlign w:val="center"/>
          </w:tcPr>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联系人：王登耀、马立新</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联系电话：0550-3591311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5.1</w:t>
            </w:r>
          </w:p>
        </w:tc>
        <w:tc>
          <w:tcPr>
            <w:tcW w:w="1740" w:type="dxa"/>
            <w:vAlign w:val="center"/>
          </w:tcPr>
          <w:p>
            <w:pPr>
              <w:pStyle w:val="19"/>
              <w:spacing w:line="312"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代理机构联系人及电话</w:t>
            </w:r>
          </w:p>
        </w:tc>
        <w:tc>
          <w:tcPr>
            <w:tcW w:w="7468" w:type="dxa"/>
            <w:vAlign w:val="center"/>
          </w:tcPr>
          <w:p>
            <w:pPr>
              <w:spacing w:line="340" w:lineRule="exact"/>
              <w:ind w:right="-334" w:rightChars="-159"/>
              <w:rPr>
                <w:rFonts w:ascii="仿宋_GB2312" w:hAnsi="仿宋_GB2312" w:eastAsia="仿宋_GB2312" w:cs="仿宋_GB2312"/>
                <w:sz w:val="28"/>
                <w:szCs w:val="28"/>
                <w:highlight w:val="none"/>
              </w:rPr>
            </w:pPr>
            <w:r>
              <w:rPr>
                <w:rFonts w:hint="eastAsia" w:ascii="仿宋_GB2312" w:hAnsi="仿宋_GB2312" w:eastAsia="仿宋_GB2312" w:cs="仿宋_GB2312"/>
                <w:bCs/>
                <w:sz w:val="28"/>
                <w:szCs w:val="28"/>
                <w:highlight w:val="none"/>
              </w:rPr>
              <w:t xml:space="preserve">联系人：戴婷      电话： </w:t>
            </w:r>
            <w:r>
              <w:rPr>
                <w:rFonts w:hint="eastAsia" w:ascii="仿宋_GB2312" w:hAnsi="仿宋_GB2312" w:eastAsia="仿宋_GB2312" w:cs="仿宋_GB2312"/>
                <w:sz w:val="28"/>
                <w:szCs w:val="28"/>
                <w:highlight w:val="none"/>
              </w:rPr>
              <w:t>18755006155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88"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6.1</w:t>
            </w:r>
          </w:p>
        </w:tc>
        <w:tc>
          <w:tcPr>
            <w:tcW w:w="1740" w:type="dxa"/>
            <w:vAlign w:val="center"/>
          </w:tcPr>
          <w:p>
            <w:pPr>
              <w:pStyle w:val="19"/>
              <w:spacing w:line="312"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资金来源</w:t>
            </w:r>
          </w:p>
        </w:tc>
        <w:tc>
          <w:tcPr>
            <w:tcW w:w="7468" w:type="dxa"/>
            <w:vAlign w:val="center"/>
          </w:tcPr>
          <w:p>
            <w:pPr>
              <w:pStyle w:val="19"/>
              <w:spacing w:line="312"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财政资金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7.1</w:t>
            </w:r>
          </w:p>
        </w:tc>
        <w:tc>
          <w:tcPr>
            <w:tcW w:w="1740" w:type="dxa"/>
            <w:vAlign w:val="center"/>
          </w:tcPr>
          <w:p>
            <w:pPr>
              <w:pStyle w:val="19"/>
              <w:spacing w:line="312"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采购预算</w:t>
            </w:r>
          </w:p>
        </w:tc>
        <w:tc>
          <w:tcPr>
            <w:tcW w:w="7468" w:type="dxa"/>
            <w:vAlign w:val="center"/>
          </w:tcPr>
          <w:p>
            <w:pPr>
              <w:pStyle w:val="19"/>
              <w:spacing w:line="312"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8.1</w:t>
            </w:r>
          </w:p>
        </w:tc>
        <w:tc>
          <w:tcPr>
            <w:tcW w:w="1740" w:type="dxa"/>
            <w:vAlign w:val="center"/>
          </w:tcPr>
          <w:p>
            <w:pPr>
              <w:pStyle w:val="19"/>
              <w:spacing w:line="312"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发包价</w:t>
            </w:r>
          </w:p>
        </w:tc>
        <w:tc>
          <w:tcPr>
            <w:tcW w:w="7468" w:type="dxa"/>
            <w:vAlign w:val="center"/>
          </w:tcPr>
          <w:p>
            <w:pPr>
              <w:widowControl/>
              <w:shd w:val="clear" w:color="auto" w:fill="FFFFFF"/>
              <w:spacing w:line="4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项目单位发布的发包价=最高投标限价×（1-K）（其中K=15%），12336.4*（1-15%）=10485.94元，即发包价。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2"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9.1</w:t>
            </w:r>
          </w:p>
        </w:tc>
        <w:tc>
          <w:tcPr>
            <w:tcW w:w="1740" w:type="dxa"/>
            <w:vAlign w:val="center"/>
          </w:tcPr>
          <w:p>
            <w:pPr>
              <w:pStyle w:val="19"/>
              <w:spacing w:line="312"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采购需求（内容）</w:t>
            </w:r>
          </w:p>
        </w:tc>
        <w:tc>
          <w:tcPr>
            <w:tcW w:w="7468" w:type="dxa"/>
            <w:vAlign w:val="center"/>
          </w:tcPr>
          <w:p>
            <w:pPr>
              <w:pStyle w:val="19"/>
              <w:spacing w:line="312"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本项目采购内容包括：详见《采购需求及要求》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10.1</w:t>
            </w:r>
          </w:p>
        </w:tc>
        <w:tc>
          <w:tcPr>
            <w:tcW w:w="1740" w:type="dxa"/>
            <w:vAlign w:val="center"/>
          </w:tcPr>
          <w:p>
            <w:pPr>
              <w:pStyle w:val="19"/>
              <w:spacing w:line="312"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招标方式</w:t>
            </w:r>
          </w:p>
        </w:tc>
        <w:tc>
          <w:tcPr>
            <w:tcW w:w="7468" w:type="dxa"/>
            <w:vAlign w:val="center"/>
          </w:tcPr>
          <w:p>
            <w:pPr>
              <w:pStyle w:val="19"/>
              <w:spacing w:line="312"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3"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11.1</w:t>
            </w:r>
          </w:p>
        </w:tc>
        <w:tc>
          <w:tcPr>
            <w:tcW w:w="1740" w:type="dxa"/>
            <w:vAlign w:val="center"/>
          </w:tcPr>
          <w:p>
            <w:pPr>
              <w:pStyle w:val="19"/>
              <w:spacing w:line="312"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投标人资格条件及其他要求</w:t>
            </w:r>
          </w:p>
        </w:tc>
        <w:tc>
          <w:tcPr>
            <w:tcW w:w="7468" w:type="dxa"/>
            <w:vAlign w:val="center"/>
          </w:tcPr>
          <w:p>
            <w:pPr>
              <w:spacing w:line="42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详见招标公告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0"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12.1</w:t>
            </w:r>
          </w:p>
        </w:tc>
        <w:tc>
          <w:tcPr>
            <w:tcW w:w="1740" w:type="dxa"/>
            <w:vAlign w:val="center"/>
          </w:tcPr>
          <w:p>
            <w:pPr>
              <w:pStyle w:val="19"/>
              <w:spacing w:line="312"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踏勘现场</w:t>
            </w:r>
          </w:p>
        </w:tc>
        <w:tc>
          <w:tcPr>
            <w:tcW w:w="7468" w:type="dxa"/>
            <w:vAlign w:val="center"/>
          </w:tcPr>
          <w:p>
            <w:pPr>
              <w:pStyle w:val="19"/>
              <w:spacing w:line="312"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不组织,投标人可自行踏勘现场。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13.1</w:t>
            </w:r>
          </w:p>
        </w:tc>
        <w:tc>
          <w:tcPr>
            <w:tcW w:w="1740" w:type="dxa"/>
            <w:vAlign w:val="center"/>
          </w:tcPr>
          <w:p>
            <w:pPr>
              <w:pStyle w:val="19"/>
              <w:spacing w:line="312"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投标预备会</w:t>
            </w:r>
          </w:p>
        </w:tc>
        <w:tc>
          <w:tcPr>
            <w:tcW w:w="7468" w:type="dxa"/>
            <w:vAlign w:val="center"/>
          </w:tcPr>
          <w:p>
            <w:pPr>
              <w:pStyle w:val="19"/>
              <w:spacing w:line="312"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6"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14.1</w:t>
            </w:r>
          </w:p>
        </w:tc>
        <w:tc>
          <w:tcPr>
            <w:tcW w:w="1740" w:type="dxa"/>
            <w:vAlign w:val="center"/>
          </w:tcPr>
          <w:p>
            <w:pPr>
              <w:pStyle w:val="19"/>
              <w:spacing w:line="312"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投标人提出问题的截止时间及方式</w:t>
            </w:r>
          </w:p>
        </w:tc>
        <w:tc>
          <w:tcPr>
            <w:tcW w:w="7468" w:type="dxa"/>
            <w:vAlign w:val="center"/>
          </w:tcPr>
          <w:p>
            <w:pPr>
              <w:pStyle w:val="19"/>
              <w:spacing w:line="312"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u w:val="single"/>
              </w:rPr>
              <w:t>2024</w:t>
            </w:r>
            <w:r>
              <w:rPr>
                <w:rFonts w:hint="eastAsia" w:ascii="仿宋_GB2312" w:hAnsi="仿宋_GB2312" w:eastAsia="仿宋_GB2312" w:cs="仿宋_GB2312"/>
                <w:color w:val="auto"/>
                <w:sz w:val="28"/>
                <w:szCs w:val="28"/>
                <w:highlight w:val="none"/>
              </w:rPr>
              <w:t>年 月 日 时 前，</w:t>
            </w:r>
            <w:r>
              <w:rPr>
                <w:highlight w:val="none"/>
              </w:rPr>
              <w:fldChar w:fldCharType="begin"/>
            </w:r>
            <w:r>
              <w:rPr>
                <w:highlight w:val="none"/>
              </w:rPr>
              <w:instrText xml:space="preserve"> HYPERLINK "mailto:投标人将所遇到的问题以电子邮件形式传至cxzbdlgs@163.com" </w:instrText>
            </w:r>
            <w:r>
              <w:rPr>
                <w:highlight w:val="none"/>
              </w:rPr>
              <w:fldChar w:fldCharType="separate"/>
            </w:r>
            <w:r>
              <w:rPr>
                <w:rStyle w:val="44"/>
                <w:rFonts w:hint="eastAsia" w:ascii="仿宋_GB2312" w:hAnsi="仿宋_GB2312" w:eastAsia="仿宋_GB2312" w:cs="仿宋_GB2312"/>
                <w:color w:val="auto"/>
                <w:sz w:val="28"/>
                <w:szCs w:val="28"/>
                <w:highlight w:val="none"/>
              </w:rPr>
              <w:t>投标人将所遇到的问题以电子邮件形式传至229161767@qq.com</w:t>
            </w:r>
            <w:r>
              <w:rPr>
                <w:rStyle w:val="44"/>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t>(安徽求是工程建设咨询有限公司电子邮箱)。招标人</w:t>
            </w:r>
            <w:r>
              <w:rPr>
                <w:rFonts w:hint="eastAsia" w:ascii="仿宋_GB2312" w:hAnsi="仿宋_GB2312" w:eastAsia="仿宋_GB2312" w:cs="仿宋_GB2312"/>
                <w:color w:val="auto"/>
                <w:kern w:val="0"/>
                <w:sz w:val="28"/>
                <w:szCs w:val="28"/>
                <w:highlight w:val="none"/>
              </w:rPr>
              <w:t>不再集中召开招标答疑会；投标人自行组织勘察现场。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15.1</w:t>
            </w:r>
          </w:p>
        </w:tc>
        <w:tc>
          <w:tcPr>
            <w:tcW w:w="1740" w:type="dxa"/>
            <w:vAlign w:val="center"/>
          </w:tcPr>
          <w:p>
            <w:pPr>
              <w:pStyle w:val="19"/>
              <w:spacing w:line="312"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招标人澄清的时间及方式</w:t>
            </w:r>
          </w:p>
        </w:tc>
        <w:tc>
          <w:tcPr>
            <w:tcW w:w="7468" w:type="dxa"/>
            <w:vAlign w:val="center"/>
          </w:tcPr>
          <w:p>
            <w:pPr>
              <w:spacing w:line="312" w:lineRule="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u w:val="single"/>
              </w:rPr>
              <w:t>2024</w:t>
            </w:r>
            <w:r>
              <w:rPr>
                <w:rFonts w:hint="eastAsia" w:ascii="仿宋_GB2312" w:hAnsi="仿宋_GB2312" w:eastAsia="仿宋_GB2312" w:cs="仿宋_GB2312"/>
                <w:sz w:val="28"/>
                <w:szCs w:val="28"/>
                <w:highlight w:val="none"/>
              </w:rPr>
              <w:t>年 月 日 时 前，在国家级滁州经济技术开发区官网予以公告。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7"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16.1</w:t>
            </w:r>
          </w:p>
        </w:tc>
        <w:tc>
          <w:tcPr>
            <w:tcW w:w="1740" w:type="dxa"/>
            <w:vAlign w:val="center"/>
          </w:tcPr>
          <w:p>
            <w:pPr>
              <w:pStyle w:val="19"/>
              <w:spacing w:line="312"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联合体投标</w:t>
            </w:r>
          </w:p>
        </w:tc>
        <w:tc>
          <w:tcPr>
            <w:tcW w:w="7468" w:type="dxa"/>
            <w:vAlign w:val="center"/>
          </w:tcPr>
          <w:p>
            <w:pPr>
              <w:pStyle w:val="19"/>
              <w:spacing w:line="312"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本次招标</w:t>
            </w:r>
            <w:r>
              <w:rPr>
                <w:rFonts w:hint="eastAsia" w:ascii="仿宋_GB2312" w:hAnsi="仿宋_GB2312" w:eastAsia="仿宋_GB2312" w:cs="仿宋_GB2312"/>
                <w:color w:val="auto"/>
                <w:sz w:val="28"/>
                <w:szCs w:val="28"/>
                <w:highlight w:val="none"/>
                <w:u w:val="single"/>
              </w:rPr>
              <w:t>不接受</w:t>
            </w:r>
            <w:r>
              <w:rPr>
                <w:rFonts w:hint="eastAsia" w:ascii="仿宋_GB2312" w:hAnsi="仿宋_GB2312" w:eastAsia="仿宋_GB2312" w:cs="仿宋_GB2312"/>
                <w:color w:val="auto"/>
                <w:sz w:val="28"/>
                <w:szCs w:val="28"/>
                <w:highlight w:val="none"/>
              </w:rPr>
              <w:t>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96" w:hRule="atLeast"/>
          <w:jc w:val="center"/>
        </w:trPr>
        <w:tc>
          <w:tcPr>
            <w:tcW w:w="958" w:type="dxa"/>
            <w:vAlign w:val="center"/>
          </w:tcPr>
          <w:p>
            <w:pPr>
              <w:spacing w:line="312" w:lineRule="auto"/>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17.1</w:t>
            </w:r>
          </w:p>
        </w:tc>
        <w:tc>
          <w:tcPr>
            <w:tcW w:w="1740" w:type="dxa"/>
            <w:vAlign w:val="center"/>
          </w:tcPr>
          <w:p>
            <w:pPr>
              <w:spacing w:line="312" w:lineRule="auto"/>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招标代理费及评审费</w:t>
            </w:r>
          </w:p>
        </w:tc>
        <w:tc>
          <w:tcPr>
            <w:tcW w:w="7468" w:type="dxa"/>
            <w:vAlign w:val="center"/>
          </w:tcPr>
          <w:p>
            <w:pPr>
              <w:spacing w:line="312" w:lineRule="auto"/>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招标代理费用2000元，</w:t>
            </w:r>
            <w:r>
              <w:rPr>
                <w:rFonts w:hint="eastAsia" w:ascii="仿宋_GB2312" w:hAnsi="仿宋_GB2312" w:eastAsia="仿宋_GB2312" w:cs="仿宋_GB2312"/>
                <w:kern w:val="0"/>
                <w:sz w:val="28"/>
                <w:szCs w:val="28"/>
                <w:highlight w:val="none"/>
              </w:rPr>
              <w:t>评审费用以实际发生为准。</w:t>
            </w:r>
          </w:p>
          <w:p>
            <w:pPr>
              <w:spacing w:line="312" w:lineRule="auto"/>
              <w:jc w:val="left"/>
              <w:rPr>
                <w:rFonts w:ascii="仿宋_GB2312" w:hAnsi="仿宋_GB2312" w:eastAsia="仿宋_GB2312" w:cs="仿宋_GB2312"/>
                <w:kern w:val="0"/>
                <w:sz w:val="28"/>
                <w:szCs w:val="28"/>
                <w:highlight w:val="none"/>
              </w:rPr>
            </w:pPr>
            <w:r>
              <w:rPr>
                <w:rFonts w:hint="eastAsia" w:ascii="仿宋_GB2312" w:hAnsi="仿宋_GB2312" w:eastAsia="仿宋_GB2312" w:cs="仿宋_GB2312"/>
                <w:sz w:val="28"/>
                <w:szCs w:val="28"/>
                <w:highlight w:val="none"/>
              </w:rPr>
              <w:t>代理服务费及评审费支付主体:中标单位，中标单位在获取中标通知书时一次性支付给代理机构。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71" w:hRule="atLeast"/>
          <w:jc w:val="center"/>
        </w:trPr>
        <w:tc>
          <w:tcPr>
            <w:tcW w:w="958" w:type="dxa"/>
            <w:vAlign w:val="center"/>
          </w:tcPr>
          <w:p>
            <w:pPr>
              <w:spacing w:line="312" w:lineRule="auto"/>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18.1</w:t>
            </w:r>
          </w:p>
        </w:tc>
        <w:tc>
          <w:tcPr>
            <w:tcW w:w="1740" w:type="dxa"/>
            <w:vAlign w:val="center"/>
          </w:tcPr>
          <w:p>
            <w:pPr>
              <w:spacing w:line="312" w:lineRule="auto"/>
              <w:ind w:right="-27" w:rightChars="-13"/>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投标人要求澄清招标文件的截止时间及方式</w:t>
            </w:r>
          </w:p>
        </w:tc>
        <w:tc>
          <w:tcPr>
            <w:tcW w:w="7468" w:type="dxa"/>
            <w:vAlign w:val="center"/>
          </w:tcPr>
          <w:p>
            <w:pPr>
              <w:spacing w:line="312" w:lineRule="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同表14.1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19.1</w:t>
            </w:r>
          </w:p>
        </w:tc>
        <w:tc>
          <w:tcPr>
            <w:tcW w:w="1740" w:type="dxa"/>
            <w:vAlign w:val="center"/>
          </w:tcPr>
          <w:p>
            <w:pPr>
              <w:pStyle w:val="19"/>
              <w:spacing w:line="312"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投标有效期</w:t>
            </w:r>
          </w:p>
        </w:tc>
        <w:tc>
          <w:tcPr>
            <w:tcW w:w="7468" w:type="dxa"/>
            <w:vAlign w:val="center"/>
          </w:tcPr>
          <w:p>
            <w:pPr>
              <w:pStyle w:val="19"/>
              <w:spacing w:line="312"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投标有效期为</w:t>
            </w:r>
            <w:r>
              <w:rPr>
                <w:rFonts w:hint="eastAsia" w:ascii="仿宋_GB2312" w:hAnsi="仿宋_GB2312" w:eastAsia="仿宋_GB2312" w:cs="仿宋_GB2312"/>
                <w:color w:val="auto"/>
                <w:sz w:val="28"/>
                <w:szCs w:val="28"/>
                <w:highlight w:val="none"/>
                <w:u w:val="single"/>
              </w:rPr>
              <w:t>30</w:t>
            </w:r>
            <w:r>
              <w:rPr>
                <w:rFonts w:hint="eastAsia" w:ascii="仿宋_GB2312" w:hAnsi="仿宋_GB2312" w:eastAsia="仿宋_GB2312" w:cs="仿宋_GB2312"/>
                <w:color w:val="auto"/>
                <w:sz w:val="28"/>
                <w:szCs w:val="28"/>
                <w:highlight w:val="none"/>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8" w:type="dxa"/>
            <w:vAlign w:val="center"/>
          </w:tcPr>
          <w:p>
            <w:pPr>
              <w:spacing w:line="312" w:lineRule="auto"/>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20.1</w:t>
            </w:r>
          </w:p>
        </w:tc>
        <w:tc>
          <w:tcPr>
            <w:tcW w:w="1740" w:type="dxa"/>
            <w:tcBorders>
              <w:right w:val="single" w:color="auto" w:sz="4" w:space="0"/>
            </w:tcBorders>
            <w:vAlign w:val="center"/>
          </w:tcPr>
          <w:p>
            <w:pPr>
              <w:spacing w:line="312" w:lineRule="auto"/>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投标保证金</w:t>
            </w:r>
          </w:p>
        </w:tc>
        <w:tc>
          <w:tcPr>
            <w:tcW w:w="7468" w:type="dxa"/>
            <w:tcBorders>
              <w:left w:val="single" w:color="auto" w:sz="4" w:space="0"/>
            </w:tcBorders>
          </w:tcPr>
          <w:p>
            <w:pPr>
              <w:spacing w:line="312" w:lineRule="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不采用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18"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21.1</w:t>
            </w:r>
          </w:p>
        </w:tc>
        <w:tc>
          <w:tcPr>
            <w:tcW w:w="1740" w:type="dxa"/>
            <w:vAlign w:val="center"/>
          </w:tcPr>
          <w:p>
            <w:pPr>
              <w:pStyle w:val="19"/>
              <w:spacing w:line="312"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投标文件数量</w:t>
            </w:r>
          </w:p>
        </w:tc>
        <w:tc>
          <w:tcPr>
            <w:tcW w:w="7468" w:type="dxa"/>
            <w:vAlign w:val="center"/>
          </w:tcPr>
          <w:p>
            <w:pPr>
              <w:spacing w:line="40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书面文件一式</w:t>
            </w:r>
            <w:r>
              <w:rPr>
                <w:rFonts w:hint="eastAsia" w:ascii="仿宋_GB2312" w:hAnsi="仿宋_GB2312" w:eastAsia="仿宋_GB2312" w:cs="仿宋_GB2312"/>
                <w:sz w:val="28"/>
                <w:szCs w:val="28"/>
                <w:highlight w:val="none"/>
                <w:u w:val="single"/>
              </w:rPr>
              <w:t>三 份</w:t>
            </w:r>
            <w:r>
              <w:rPr>
                <w:rFonts w:hint="eastAsia" w:ascii="仿宋_GB2312" w:hAnsi="仿宋_GB2312" w:eastAsia="仿宋_GB2312" w:cs="仿宋_GB2312"/>
                <w:sz w:val="28"/>
                <w:szCs w:val="28"/>
                <w:highlight w:val="none"/>
              </w:rPr>
              <w:t>，正本</w:t>
            </w:r>
            <w:r>
              <w:rPr>
                <w:rFonts w:hint="eastAsia" w:ascii="仿宋_GB2312" w:hAnsi="仿宋_GB2312" w:eastAsia="仿宋_GB2312" w:cs="仿宋_GB2312"/>
                <w:sz w:val="28"/>
                <w:szCs w:val="28"/>
                <w:highlight w:val="none"/>
                <w:u w:val="single"/>
              </w:rPr>
              <w:t xml:space="preserve"> 一 份</w:t>
            </w:r>
            <w:r>
              <w:rPr>
                <w:rFonts w:hint="eastAsia" w:ascii="仿宋_GB2312" w:hAnsi="仿宋_GB2312" w:eastAsia="仿宋_GB2312" w:cs="仿宋_GB2312"/>
                <w:sz w:val="28"/>
                <w:szCs w:val="28"/>
                <w:highlight w:val="none"/>
              </w:rPr>
              <w:t>，副本</w:t>
            </w:r>
            <w:r>
              <w:rPr>
                <w:rFonts w:hint="eastAsia" w:ascii="仿宋_GB2312" w:hAnsi="仿宋_GB2312" w:eastAsia="仿宋_GB2312" w:cs="仿宋_GB2312"/>
                <w:sz w:val="28"/>
                <w:szCs w:val="28"/>
                <w:highlight w:val="none"/>
                <w:u w:val="single"/>
              </w:rPr>
              <w:t>二 份，</w:t>
            </w:r>
            <w:r>
              <w:rPr>
                <w:rFonts w:hint="eastAsia" w:ascii="仿宋_GB2312" w:hAnsi="仿宋_GB2312" w:eastAsia="仿宋_GB2312" w:cs="仿宋_GB2312"/>
                <w:sz w:val="28"/>
                <w:szCs w:val="28"/>
                <w:highlight w:val="none"/>
              </w:rPr>
              <w:t xml:space="preserve"> 投标文件的正本和副本均需打印或使用不褪色的蓝、黑墨水笔书写，字迹应清晰易于辩认，并应在投标文件封面的右上角清楚地注明“正本”或“副本”。正本和副本如有不一致之处，以正本为准。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 w:hRule="atLeast"/>
          <w:jc w:val="center"/>
        </w:trPr>
        <w:tc>
          <w:tcPr>
            <w:tcW w:w="958" w:type="dxa"/>
            <w:vAlign w:val="center"/>
          </w:tcPr>
          <w:p>
            <w:pPr>
              <w:spacing w:line="312" w:lineRule="auto"/>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22.1</w:t>
            </w:r>
          </w:p>
        </w:tc>
        <w:tc>
          <w:tcPr>
            <w:tcW w:w="1740" w:type="dxa"/>
            <w:vAlign w:val="center"/>
          </w:tcPr>
          <w:p>
            <w:pPr>
              <w:spacing w:line="312" w:lineRule="auto"/>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签字或盖章要求</w:t>
            </w:r>
          </w:p>
        </w:tc>
        <w:tc>
          <w:tcPr>
            <w:tcW w:w="7468" w:type="dxa"/>
            <w:vAlign w:val="center"/>
          </w:tcPr>
          <w:p>
            <w:pPr>
              <w:widowControl/>
              <w:spacing w:line="312" w:lineRule="auto"/>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投标文件须按格式文件要求签字或盖章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 w:hRule="atLeast"/>
          <w:jc w:val="center"/>
        </w:trPr>
        <w:tc>
          <w:tcPr>
            <w:tcW w:w="958" w:type="dxa"/>
            <w:vAlign w:val="center"/>
          </w:tcPr>
          <w:p>
            <w:pPr>
              <w:spacing w:line="312" w:lineRule="auto"/>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23.1</w:t>
            </w:r>
          </w:p>
        </w:tc>
        <w:tc>
          <w:tcPr>
            <w:tcW w:w="1740" w:type="dxa"/>
            <w:vAlign w:val="center"/>
          </w:tcPr>
          <w:p>
            <w:pPr>
              <w:spacing w:line="312" w:lineRule="auto"/>
              <w:jc w:val="left"/>
              <w:rPr>
                <w:rFonts w:ascii="仿宋_GB2312" w:hAnsi="仿宋_GB2312" w:eastAsia="仿宋_GB2312" w:cs="仿宋_GB2312"/>
                <w:bCs/>
                <w:sz w:val="28"/>
                <w:szCs w:val="28"/>
                <w:highlight w:val="none"/>
              </w:rPr>
            </w:pPr>
            <w:r>
              <w:rPr>
                <w:rFonts w:hint="eastAsia" w:ascii="仿宋_GB2312" w:hAnsi="仿宋_GB2312" w:eastAsia="仿宋_GB2312" w:cs="仿宋_GB2312"/>
                <w:bCs/>
                <w:kern w:val="0"/>
                <w:sz w:val="28"/>
                <w:szCs w:val="28"/>
                <w:highlight w:val="none"/>
              </w:rPr>
              <w:t>具体密封要求</w:t>
            </w:r>
          </w:p>
        </w:tc>
        <w:tc>
          <w:tcPr>
            <w:tcW w:w="7468" w:type="dxa"/>
            <w:vAlign w:val="center"/>
          </w:tcPr>
          <w:p>
            <w:pPr>
              <w:spacing w:line="390" w:lineRule="exact"/>
              <w:jc w:val="left"/>
              <w:rPr>
                <w:rFonts w:ascii="仿宋_GB2312" w:hAnsi="仿宋_GB2312" w:eastAsia="仿宋_GB2312" w:cs="仿宋_GB2312"/>
                <w:bCs/>
                <w:sz w:val="28"/>
                <w:szCs w:val="28"/>
                <w:highlight w:val="none"/>
              </w:rPr>
            </w:pPr>
            <w:r>
              <w:rPr>
                <w:rFonts w:hint="eastAsia" w:ascii="仿宋_GB2312" w:hAnsi="仿宋_GB2312" w:eastAsia="仿宋_GB2312" w:cs="仿宋_GB2312"/>
                <w:sz w:val="28"/>
                <w:szCs w:val="28"/>
                <w:highlight w:val="none"/>
              </w:rPr>
              <w:t>投标文件的资格证明材料和商务标装订在一个文件袋内。投标人应当将标书正本、副本密封在一起。 在投标文件密封袋上应写明投标人名称和地址、邮政编码；注明下列识别标志：招标项目名称。所有投标文件的密封袋应加盖投标人印章；否则，该投标文件将被拒绝。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66" w:hRule="atLeast"/>
          <w:jc w:val="center"/>
        </w:trPr>
        <w:tc>
          <w:tcPr>
            <w:tcW w:w="958" w:type="dxa"/>
            <w:vAlign w:val="center"/>
          </w:tcPr>
          <w:p>
            <w:pPr>
              <w:spacing w:line="312" w:lineRule="auto"/>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24.1</w:t>
            </w:r>
          </w:p>
        </w:tc>
        <w:tc>
          <w:tcPr>
            <w:tcW w:w="1740" w:type="dxa"/>
            <w:vAlign w:val="center"/>
          </w:tcPr>
          <w:p>
            <w:pPr>
              <w:spacing w:line="312" w:lineRule="auto"/>
              <w:jc w:val="left"/>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投标截止时间及投标文件送达地点</w:t>
            </w:r>
          </w:p>
        </w:tc>
        <w:tc>
          <w:tcPr>
            <w:tcW w:w="7468" w:type="dxa"/>
            <w:vAlign w:val="center"/>
          </w:tcPr>
          <w:p>
            <w:pPr>
              <w:wordWrap w:val="0"/>
              <w:spacing w:line="312" w:lineRule="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提交文件截止时间：2024年 月 日 点 分；</w:t>
            </w:r>
          </w:p>
          <w:p>
            <w:pPr>
              <w:pStyle w:val="6"/>
              <w:numPr>
                <w:ilvl w:val="1"/>
                <w:numId w:val="0"/>
              </w:numPr>
              <w:rPr>
                <w:rFonts w:ascii="仿宋_GB2312" w:hAnsi="仿宋_GB2312" w:eastAsia="仿宋_GB2312" w:cs="仿宋_GB2312"/>
                <w:sz w:val="28"/>
                <w:szCs w:val="28"/>
                <w:highlight w:val="none"/>
              </w:rPr>
            </w:pPr>
            <w:r>
              <w:rPr>
                <w:rFonts w:hint="eastAsia" w:ascii="仿宋_GB2312" w:hAnsi="仿宋_GB2312" w:eastAsia="仿宋_GB2312" w:cs="仿宋_GB2312"/>
                <w:kern w:val="2"/>
                <w:sz w:val="28"/>
                <w:szCs w:val="28"/>
                <w:highlight w:val="none"/>
              </w:rPr>
              <w:t>送达地点：滁州经济技术开发区城北新区办事处宋郢社区居民委员会。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7" w:hRule="atLeast"/>
          <w:jc w:val="center"/>
        </w:trPr>
        <w:tc>
          <w:tcPr>
            <w:tcW w:w="958" w:type="dxa"/>
            <w:vAlign w:val="center"/>
          </w:tcPr>
          <w:p>
            <w:pPr>
              <w:spacing w:line="312" w:lineRule="auto"/>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25.1</w:t>
            </w:r>
          </w:p>
        </w:tc>
        <w:tc>
          <w:tcPr>
            <w:tcW w:w="1740" w:type="dxa"/>
            <w:vAlign w:val="center"/>
          </w:tcPr>
          <w:p>
            <w:pPr>
              <w:spacing w:line="312" w:lineRule="auto"/>
              <w:jc w:val="left"/>
              <w:rPr>
                <w:rFonts w:ascii="仿宋_GB2312" w:hAnsi="仿宋_GB2312" w:eastAsia="仿宋_GB2312" w:cs="仿宋_GB2312"/>
                <w:sz w:val="28"/>
                <w:szCs w:val="28"/>
                <w:highlight w:val="none"/>
              </w:rPr>
            </w:pPr>
            <w:r>
              <w:rPr>
                <w:rFonts w:hint="eastAsia" w:ascii="仿宋_GB2312" w:hAnsi="仿宋_GB2312" w:eastAsia="仿宋_GB2312" w:cs="仿宋_GB2312"/>
                <w:bCs/>
                <w:sz w:val="28"/>
                <w:szCs w:val="28"/>
                <w:highlight w:val="none"/>
              </w:rPr>
              <w:t>开标时间及地点</w:t>
            </w:r>
          </w:p>
        </w:tc>
        <w:tc>
          <w:tcPr>
            <w:tcW w:w="7468" w:type="dxa"/>
            <w:vAlign w:val="center"/>
          </w:tcPr>
          <w:p>
            <w:pPr>
              <w:spacing w:line="4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开标时间：同投标截止时间</w:t>
            </w:r>
          </w:p>
          <w:p>
            <w:pPr>
              <w:spacing w:line="312" w:lineRule="auto"/>
              <w:ind w:firstLine="25" w:firstLineChars="9"/>
              <w:rPr>
                <w:rFonts w:ascii="仿宋_GB2312" w:hAnsi="仿宋_GB2312" w:eastAsia="仿宋_GB2312" w:cs="仿宋_GB2312"/>
                <w:i/>
                <w:sz w:val="28"/>
                <w:szCs w:val="28"/>
                <w:highlight w:val="none"/>
              </w:rPr>
            </w:pPr>
            <w:r>
              <w:rPr>
                <w:rFonts w:hint="eastAsia" w:ascii="仿宋_GB2312" w:hAnsi="仿宋_GB2312" w:eastAsia="仿宋_GB2312" w:cs="仿宋_GB2312"/>
                <w:sz w:val="28"/>
                <w:szCs w:val="28"/>
                <w:highlight w:val="none"/>
              </w:rPr>
              <w:t>开标地点：同标书送达地点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23" w:hRule="atLeast"/>
          <w:jc w:val="center"/>
        </w:trPr>
        <w:tc>
          <w:tcPr>
            <w:tcW w:w="958" w:type="dxa"/>
            <w:vAlign w:val="center"/>
          </w:tcPr>
          <w:p>
            <w:pPr>
              <w:spacing w:line="312" w:lineRule="auto"/>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26.3</w:t>
            </w:r>
          </w:p>
        </w:tc>
        <w:tc>
          <w:tcPr>
            <w:tcW w:w="1740" w:type="dxa"/>
            <w:vAlign w:val="center"/>
          </w:tcPr>
          <w:p>
            <w:pPr>
              <w:spacing w:line="312" w:lineRule="auto"/>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开标程序</w:t>
            </w:r>
          </w:p>
        </w:tc>
        <w:tc>
          <w:tcPr>
            <w:tcW w:w="7468" w:type="dxa"/>
            <w:vAlign w:val="center"/>
          </w:tcPr>
          <w:p>
            <w:pPr>
              <w:spacing w:line="4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投标文件密封情况检查：开启标书前检查投标文件加密情况。</w:t>
            </w:r>
          </w:p>
          <w:p>
            <w:pPr>
              <w:spacing w:line="312" w:lineRule="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开标顺序：先资格审查、再商务标审查。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4" w:hRule="atLeast"/>
          <w:jc w:val="center"/>
        </w:trPr>
        <w:tc>
          <w:tcPr>
            <w:tcW w:w="958" w:type="dxa"/>
            <w:vAlign w:val="center"/>
          </w:tcPr>
          <w:p>
            <w:pPr>
              <w:pStyle w:val="19"/>
              <w:spacing w:line="312"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27.1</w:t>
            </w:r>
          </w:p>
        </w:tc>
        <w:tc>
          <w:tcPr>
            <w:tcW w:w="1740" w:type="dxa"/>
            <w:vAlign w:val="center"/>
          </w:tcPr>
          <w:p>
            <w:pPr>
              <w:pStyle w:val="19"/>
              <w:spacing w:line="312"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评审小组的组建</w:t>
            </w:r>
          </w:p>
        </w:tc>
        <w:tc>
          <w:tcPr>
            <w:tcW w:w="7468" w:type="dxa"/>
          </w:tcPr>
          <w:p>
            <w:pPr>
              <w:pStyle w:val="19"/>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kern w:val="0"/>
                <w:sz w:val="28"/>
                <w:szCs w:val="28"/>
                <w:highlight w:val="none"/>
              </w:rPr>
              <w:t>评审小组由招标人组建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88" w:hRule="atLeast"/>
          <w:jc w:val="center"/>
        </w:trPr>
        <w:tc>
          <w:tcPr>
            <w:tcW w:w="958" w:type="dxa"/>
            <w:vAlign w:val="center"/>
          </w:tcPr>
          <w:p>
            <w:pPr>
              <w:spacing w:line="312" w:lineRule="auto"/>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28.1</w:t>
            </w:r>
          </w:p>
        </w:tc>
        <w:tc>
          <w:tcPr>
            <w:tcW w:w="1740" w:type="dxa"/>
            <w:vAlign w:val="center"/>
          </w:tcPr>
          <w:p>
            <w:pPr>
              <w:spacing w:line="312" w:lineRule="auto"/>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中标通知书</w:t>
            </w:r>
          </w:p>
        </w:tc>
        <w:tc>
          <w:tcPr>
            <w:tcW w:w="7468" w:type="dxa"/>
            <w:vAlign w:val="center"/>
          </w:tcPr>
          <w:p>
            <w:pPr>
              <w:spacing w:line="312" w:lineRule="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中标通知书须加盖招标单位及代理公司公章后方可发出。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958" w:type="dxa"/>
            <w:vAlign w:val="center"/>
          </w:tcPr>
          <w:p>
            <w:pPr>
              <w:spacing w:line="312" w:lineRule="auto"/>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29.1</w:t>
            </w:r>
          </w:p>
        </w:tc>
        <w:tc>
          <w:tcPr>
            <w:tcW w:w="1740" w:type="dxa"/>
            <w:vAlign w:val="center"/>
          </w:tcPr>
          <w:p>
            <w:pPr>
              <w:spacing w:line="312" w:lineRule="auto"/>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履约保证金</w:t>
            </w:r>
          </w:p>
        </w:tc>
        <w:tc>
          <w:tcPr>
            <w:tcW w:w="7468" w:type="dxa"/>
          </w:tcPr>
          <w:p>
            <w:pPr>
              <w:widowControl/>
              <w:spacing w:line="312" w:lineRule="auto"/>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1" w:hRule="atLeast"/>
          <w:jc w:val="center"/>
        </w:trPr>
        <w:tc>
          <w:tcPr>
            <w:tcW w:w="2698" w:type="dxa"/>
            <w:gridSpan w:val="2"/>
            <w:vAlign w:val="center"/>
          </w:tcPr>
          <w:p>
            <w:pPr>
              <w:spacing w:line="312" w:lineRule="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支付方式及结算</w:t>
            </w:r>
          </w:p>
        </w:tc>
        <w:tc>
          <w:tcPr>
            <w:tcW w:w="7468" w:type="dxa"/>
            <w:vAlign w:val="center"/>
          </w:tcPr>
          <w:p>
            <w:pPr>
              <w:spacing w:line="312" w:lineRule="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按每批次支付已完成验收合格工程量的100%货款；本项目结算总价不超过采购预算。</w:t>
            </w:r>
            <w:r>
              <w:rPr>
                <w:rFonts w:hint="eastAsia" w:ascii="仿宋_GB2312" w:hAnsi="仿宋_GB2312" w:eastAsia="仿宋_GB2312" w:cs="仿宋_GB2312"/>
                <w:b/>
                <w:bCs/>
                <w:sz w:val="28"/>
                <w:szCs w:val="28"/>
                <w:highlight w:val="none"/>
              </w:rPr>
              <w:t>注：当服务金额达到项目预算金额时，合同自动终止。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6" w:hRule="atLeast"/>
          <w:jc w:val="center"/>
        </w:trPr>
        <w:tc>
          <w:tcPr>
            <w:tcW w:w="958" w:type="dxa"/>
            <w:vAlign w:val="center"/>
          </w:tcPr>
          <w:p>
            <w:pPr>
              <w:widowControl/>
              <w:spacing w:line="312" w:lineRule="auto"/>
              <w:jc w:val="both"/>
              <w:rPr>
                <w:rFonts w:hint="default" w:ascii="仿宋_GB2312" w:hAnsi="仿宋_GB2312" w:eastAsia="仿宋_GB2312" w:cs="仿宋_GB2312"/>
                <w:b/>
                <w:bCs/>
                <w:kern w:val="0"/>
                <w:sz w:val="28"/>
                <w:szCs w:val="28"/>
                <w:highlight w:val="none"/>
                <w:lang w:val="en-US" w:eastAsia="zh-CN"/>
              </w:rPr>
            </w:pPr>
            <w:r>
              <w:rPr>
                <w:rFonts w:hint="eastAsia" w:ascii="仿宋_GB2312" w:hAnsi="仿宋_GB2312" w:eastAsia="仿宋_GB2312" w:cs="仿宋_GB2312"/>
                <w:b/>
                <w:bCs/>
                <w:kern w:val="0"/>
                <w:sz w:val="28"/>
                <w:szCs w:val="28"/>
                <w:highlight w:val="none"/>
                <w:lang w:val="en-US" w:eastAsia="zh-CN"/>
              </w:rPr>
              <w:t>其他说 明</w:t>
            </w:r>
          </w:p>
        </w:tc>
        <w:tc>
          <w:tcPr>
            <w:tcW w:w="9208" w:type="dxa"/>
            <w:gridSpan w:val="2"/>
            <w:vAlign w:val="center"/>
          </w:tcPr>
          <w:p>
            <w:pPr>
              <w:spacing w:line="36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1、本招标文件前后条款若有不一致之处，在澄清答疑时又未作出明确时，各投标人的投标文件只要满足其中任一条款均视为对招标文件的响应。</w:t>
            </w:r>
          </w:p>
          <w:p>
            <w:pPr>
              <w:spacing w:line="36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2、评审小组只依靠投标人递交的投标文件及其按照招标文件要求提供的所有证明材料进行评审，而不依靠任何外来的证明材料。</w:t>
            </w:r>
          </w:p>
          <w:p>
            <w:pPr>
              <w:spacing w:line="36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3、投标人未按招标文件要求递交投标文件的，将被拒绝投标人投标。本招标文件中如有与本条内容不一致之处，按此条规定执行。</w:t>
            </w:r>
          </w:p>
          <w:p>
            <w:pPr>
              <w:autoSpaceDN w:val="0"/>
              <w:spacing w:line="312" w:lineRule="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4、本招标文件条款内容解释权在法律规定的范围内归招标人所有。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8" w:hRule="atLeast"/>
          <w:jc w:val="center"/>
        </w:trPr>
        <w:tc>
          <w:tcPr>
            <w:tcW w:w="958" w:type="dxa"/>
            <w:vAlign w:val="center"/>
          </w:tcPr>
          <w:p>
            <w:pPr>
              <w:widowControl/>
              <w:spacing w:line="312" w:lineRule="auto"/>
              <w:jc w:val="both"/>
              <w:rPr>
                <w:rFonts w:ascii="仿宋_GB2312" w:hAnsi="仿宋_GB2312" w:eastAsia="仿宋_GB2312" w:cs="仿宋_GB2312"/>
                <w:b/>
                <w:bCs/>
                <w:kern w:val="0"/>
                <w:sz w:val="28"/>
                <w:szCs w:val="28"/>
                <w:highlight w:val="none"/>
              </w:rPr>
            </w:pPr>
            <w:bookmarkStart w:id="8" w:name="_Toc449028866"/>
            <w:bookmarkStart w:id="9" w:name="_Toc1530"/>
            <w:bookmarkStart w:id="10" w:name="_Toc4142"/>
            <w:r>
              <w:rPr>
                <w:rFonts w:hint="eastAsia" w:ascii="仿宋_GB2312" w:hAnsi="仿宋_GB2312" w:eastAsia="仿宋_GB2312" w:cs="仿宋_GB2312"/>
                <w:b/>
                <w:bCs/>
                <w:kern w:val="0"/>
                <w:sz w:val="28"/>
                <w:szCs w:val="28"/>
                <w:highlight w:val="none"/>
              </w:rPr>
              <w:t>约谈</w:t>
            </w:r>
          </w:p>
        </w:tc>
        <w:tc>
          <w:tcPr>
            <w:tcW w:w="9208" w:type="dxa"/>
            <w:gridSpan w:val="2"/>
            <w:vAlign w:val="center"/>
          </w:tcPr>
          <w:p>
            <w:pPr>
              <w:spacing w:line="36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项目实行法定代表人和项目负责人约谈制度，下发中标通知书前，中标单位必须按照招标人规定的时间参加约谈，中标单位的法人代表或负责人和项目负责人必须参加约谈会议；若中标单位所在地为疫情中高风险地区，可由招标人决定是否采用视频会议。</w:t>
            </w:r>
          </w:p>
          <w:p>
            <w:pPr>
              <w:spacing w:line="36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注：中标单位的法人代表或负责人参加会议时，须提供授权委托书和职务证明。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3" w:hRule="atLeast"/>
          <w:jc w:val="center"/>
        </w:trPr>
        <w:tc>
          <w:tcPr>
            <w:tcW w:w="958" w:type="dxa"/>
            <w:vAlign w:val="center"/>
          </w:tcPr>
          <w:p>
            <w:pPr>
              <w:spacing w:line="440" w:lineRule="exact"/>
              <w:jc w:val="center"/>
              <w:rPr>
                <w:rFonts w:ascii="仿宋_GB2312" w:hAnsi="仿宋_GB2312" w:eastAsia="仿宋_GB2312" w:cs="仿宋_GB2312"/>
                <w:b/>
                <w:bCs/>
                <w:kern w:val="0"/>
                <w:sz w:val="28"/>
                <w:szCs w:val="28"/>
                <w:highlight w:val="none"/>
              </w:rPr>
            </w:pPr>
            <w:r>
              <w:rPr>
                <w:rFonts w:hint="eastAsia" w:ascii="仿宋_GB2312" w:hAnsi="仿宋_GB2312" w:eastAsia="仿宋_GB2312" w:cs="仿宋_GB2312"/>
                <w:kern w:val="0"/>
                <w:sz w:val="28"/>
                <w:szCs w:val="28"/>
                <w:highlight w:val="none"/>
              </w:rPr>
              <w:t>限制投标企业</w:t>
            </w:r>
          </w:p>
        </w:tc>
        <w:tc>
          <w:tcPr>
            <w:tcW w:w="9208" w:type="dxa"/>
            <w:gridSpan w:val="2"/>
            <w:vAlign w:val="center"/>
          </w:tcPr>
          <w:p>
            <w:pPr>
              <w:spacing w:line="440" w:lineRule="exact"/>
              <w:rPr>
                <w:rFonts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经开区限制投标企业不得参与投标，限制投标企业名单以招标人开标现场递交至评标委员会的名单为准。</w:t>
            </w:r>
          </w:p>
        </w:tc>
      </w:tr>
    </w:tbl>
    <w:p>
      <w:pPr>
        <w:pStyle w:val="6"/>
        <w:pageBreakBefore/>
        <w:numPr>
          <w:ilvl w:val="0"/>
          <w:numId w:val="0"/>
        </w:numPr>
        <w:spacing w:line="34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二、投标人须知</w:t>
      </w:r>
      <w:bookmarkEnd w:id="8"/>
      <w:bookmarkEnd w:id="9"/>
      <w:bookmarkEnd w:id="10"/>
    </w:p>
    <w:p>
      <w:pPr>
        <w:pStyle w:val="6"/>
        <w:numPr>
          <w:ilvl w:val="0"/>
          <w:numId w:val="0"/>
        </w:numPr>
        <w:spacing w:line="340" w:lineRule="exact"/>
        <w:jc w:val="center"/>
        <w:rPr>
          <w:rFonts w:ascii="仿宋_GB2312" w:hAnsi="仿宋_GB2312" w:eastAsia="仿宋_GB2312" w:cs="仿宋_GB2312"/>
          <w:sz w:val="28"/>
          <w:szCs w:val="28"/>
          <w:highlight w:val="none"/>
        </w:rPr>
      </w:pPr>
      <w:bookmarkStart w:id="11" w:name="_Toc19225"/>
      <w:bookmarkStart w:id="12" w:name="_Toc25828"/>
      <w:bookmarkStart w:id="13" w:name="_Toc449028867"/>
      <w:r>
        <w:rPr>
          <w:rFonts w:hint="eastAsia" w:ascii="仿宋_GB2312" w:hAnsi="仿宋_GB2312" w:eastAsia="仿宋_GB2312" w:cs="仿宋_GB2312"/>
          <w:sz w:val="28"/>
          <w:szCs w:val="28"/>
          <w:highlight w:val="none"/>
        </w:rPr>
        <w:t>（一）总  则</w:t>
      </w:r>
      <w:bookmarkEnd w:id="11"/>
      <w:bookmarkEnd w:id="12"/>
      <w:bookmarkEnd w:id="13"/>
    </w:p>
    <w:p>
      <w:pPr>
        <w:snapToGrid w:val="0"/>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1.项目概况</w:t>
      </w:r>
    </w:p>
    <w:p>
      <w:pPr>
        <w:snapToGrid w:val="0"/>
        <w:spacing w:line="340" w:lineRule="exact"/>
        <w:ind w:firstLine="560" w:firstLineChars="200"/>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1.1本次招标采购项目名称：见投标人须知前附表。</w:t>
      </w:r>
    </w:p>
    <w:p>
      <w:pPr>
        <w:snapToGrid w:val="0"/>
        <w:spacing w:line="340" w:lineRule="exact"/>
        <w:ind w:firstLine="560" w:firstLineChars="200"/>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招 标 人：见投标人须知前附表。</w:t>
      </w:r>
    </w:p>
    <w:p>
      <w:pPr>
        <w:snapToGrid w:val="0"/>
        <w:spacing w:line="340" w:lineRule="exact"/>
        <w:ind w:firstLine="560" w:firstLineChars="200"/>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供货期（服务周期）：见投标人须知前附表。</w:t>
      </w:r>
    </w:p>
    <w:p>
      <w:pPr>
        <w:snapToGrid w:val="0"/>
        <w:spacing w:line="340" w:lineRule="exact"/>
        <w:ind w:firstLine="560" w:firstLineChars="200"/>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供货地点：见投标人须知前附表。</w:t>
      </w:r>
    </w:p>
    <w:p>
      <w:pPr>
        <w:snapToGrid w:val="0"/>
        <w:spacing w:line="340" w:lineRule="exact"/>
        <w:ind w:firstLine="560" w:firstLineChars="200"/>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1.2招标人及联系人: 见投标人须知前附表。</w:t>
      </w:r>
    </w:p>
    <w:p>
      <w:pPr>
        <w:snapToGrid w:val="0"/>
        <w:spacing w:line="340" w:lineRule="exact"/>
        <w:ind w:firstLine="560" w:firstLineChars="200"/>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代理机构及联系人: 见投标人须知前附表。</w:t>
      </w:r>
    </w:p>
    <w:p>
      <w:pPr>
        <w:snapToGrid w:val="0"/>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1.3资金来源：见投标人须知前附表。</w:t>
      </w:r>
    </w:p>
    <w:p>
      <w:pPr>
        <w:snapToGrid w:val="0"/>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1.4本项目预算：见投标人须知前附表。</w:t>
      </w:r>
    </w:p>
    <w:p>
      <w:pPr>
        <w:snapToGrid w:val="0"/>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1.5本项目最高限价：见投标人须知前附表。</w:t>
      </w:r>
    </w:p>
    <w:p>
      <w:pPr>
        <w:snapToGrid w:val="0"/>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2.招标范围：</w:t>
      </w:r>
    </w:p>
    <w:p>
      <w:pPr>
        <w:snapToGrid w:val="0"/>
        <w:spacing w:line="340" w:lineRule="exact"/>
        <w:ind w:firstLine="560" w:firstLineChars="200"/>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2.1 采购内容：见投标人须知前附表。</w:t>
      </w:r>
    </w:p>
    <w:p>
      <w:pPr>
        <w:snapToGrid w:val="0"/>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2.2 技术要求：详见招标文件第四章采购需求及要求。</w:t>
      </w:r>
    </w:p>
    <w:p>
      <w:pPr>
        <w:snapToGrid w:val="0"/>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3.标包划分：</w:t>
      </w:r>
    </w:p>
    <w:p>
      <w:pPr>
        <w:snapToGrid w:val="0"/>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3.1本项目划分：一个标包。</w:t>
      </w:r>
    </w:p>
    <w:p>
      <w:pPr>
        <w:snapToGrid w:val="0"/>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4.招标方式：</w:t>
      </w:r>
    </w:p>
    <w:p>
      <w:pPr>
        <w:snapToGrid w:val="0"/>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4.1本项目招标方式：见投标人须知前附表。</w:t>
      </w:r>
    </w:p>
    <w:p>
      <w:pPr>
        <w:snapToGrid w:val="0"/>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5.计价方式：</w:t>
      </w:r>
    </w:p>
    <w:p>
      <w:pPr>
        <w:snapToGrid w:val="0"/>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5.1本次招标项目合同采用</w:t>
      </w:r>
      <w:r>
        <w:rPr>
          <w:rFonts w:hint="eastAsia" w:ascii="仿宋_GB2312" w:hAnsi="仿宋_GB2312" w:eastAsia="仿宋_GB2312" w:cs="仿宋_GB2312"/>
          <w:sz w:val="28"/>
          <w:szCs w:val="28"/>
          <w:highlight w:val="none"/>
          <w:u w:val="single"/>
        </w:rPr>
        <w:t>固定单价。</w:t>
      </w:r>
    </w:p>
    <w:p>
      <w:pPr>
        <w:snapToGrid w:val="0"/>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6.评标办法：</w:t>
      </w:r>
    </w:p>
    <w:p>
      <w:pPr>
        <w:snapToGrid w:val="0"/>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6.1本次招标评标采用</w:t>
      </w:r>
      <w:r>
        <w:rPr>
          <w:rFonts w:hint="eastAsia" w:ascii="仿宋_GB2312" w:hAnsi="仿宋_GB2312" w:eastAsia="仿宋_GB2312" w:cs="仿宋_GB2312"/>
          <w:sz w:val="28"/>
          <w:szCs w:val="28"/>
          <w:highlight w:val="none"/>
          <w:u w:val="single"/>
        </w:rPr>
        <w:t xml:space="preserve">随机抽取法 </w:t>
      </w:r>
      <w:r>
        <w:rPr>
          <w:rFonts w:hint="eastAsia" w:ascii="仿宋_GB2312" w:hAnsi="仿宋_GB2312" w:eastAsia="仿宋_GB2312" w:cs="仿宋_GB2312"/>
          <w:sz w:val="28"/>
          <w:szCs w:val="28"/>
          <w:highlight w:val="none"/>
        </w:rPr>
        <w:t>（详见第三章评标办法）</w:t>
      </w:r>
    </w:p>
    <w:p>
      <w:pPr>
        <w:snapToGrid w:val="0"/>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7.投标人资格：</w:t>
      </w:r>
    </w:p>
    <w:p>
      <w:pPr>
        <w:snapToGrid w:val="0"/>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7.1参与采购活动的投标人必须是满足《中华人民共和国政府采购法》规定条件的法人、其他组织或者自然人；</w:t>
      </w:r>
    </w:p>
    <w:p>
      <w:pPr>
        <w:snapToGrid w:val="0"/>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7.2由于政府采购项目的差异性，投标人在参与具体政府采购项目活动时，应仔细阅读该项目的资质要求,具体见投标人须知前附表。</w:t>
      </w:r>
    </w:p>
    <w:p>
      <w:pPr>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8. 投标费用</w:t>
      </w:r>
    </w:p>
    <w:p>
      <w:pPr>
        <w:snapToGrid w:val="0"/>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8.1投标人准备和参加投标活动发生的费用自理。</w:t>
      </w:r>
    </w:p>
    <w:p>
      <w:pPr>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9.</w:t>
      </w:r>
      <w:bookmarkStart w:id="14" w:name="_Toc152045539"/>
      <w:bookmarkStart w:id="15" w:name="_Toc247592876"/>
      <w:bookmarkStart w:id="16" w:name="_Toc296602429"/>
      <w:bookmarkStart w:id="17" w:name="_Toc144974507"/>
      <w:bookmarkStart w:id="18" w:name="_Toc247513962"/>
      <w:bookmarkStart w:id="19" w:name="_Toc152042315"/>
      <w:bookmarkStart w:id="20" w:name="_Toc247527563"/>
      <w:r>
        <w:rPr>
          <w:rFonts w:hint="eastAsia" w:ascii="仿宋_GB2312" w:hAnsi="仿宋_GB2312" w:eastAsia="仿宋_GB2312" w:cs="仿宋_GB2312"/>
          <w:b/>
          <w:sz w:val="28"/>
          <w:szCs w:val="28"/>
          <w:highlight w:val="none"/>
        </w:rPr>
        <w:t>踏勘现场</w:t>
      </w:r>
      <w:bookmarkEnd w:id="14"/>
      <w:bookmarkEnd w:id="15"/>
      <w:bookmarkEnd w:id="16"/>
      <w:bookmarkEnd w:id="17"/>
      <w:bookmarkEnd w:id="18"/>
      <w:bookmarkEnd w:id="19"/>
      <w:bookmarkEnd w:id="20"/>
    </w:p>
    <w:p>
      <w:pPr>
        <w:spacing w:line="340" w:lineRule="exact"/>
        <w:ind w:firstLine="546" w:firstLineChars="195"/>
        <w:rPr>
          <w:rFonts w:ascii="仿宋_GB2312" w:hAnsi="仿宋_GB2312" w:eastAsia="仿宋_GB2312" w:cs="仿宋_GB2312"/>
          <w:sz w:val="28"/>
          <w:szCs w:val="28"/>
          <w:highlight w:val="none"/>
        </w:rPr>
      </w:pPr>
      <w:bookmarkStart w:id="21" w:name="_Toc144974508"/>
      <w:bookmarkStart w:id="22" w:name="_Toc247527564"/>
      <w:bookmarkStart w:id="23" w:name="_Toc247592877"/>
      <w:bookmarkStart w:id="24" w:name="_Toc247513963"/>
      <w:bookmarkStart w:id="25" w:name="_Toc152042316"/>
      <w:bookmarkStart w:id="26" w:name="_Toc152045540"/>
      <w:bookmarkStart w:id="27" w:name="_Toc296602430"/>
      <w:r>
        <w:rPr>
          <w:rFonts w:hint="eastAsia" w:ascii="仿宋_GB2312" w:hAnsi="仿宋_GB2312" w:eastAsia="仿宋_GB2312" w:cs="仿宋_GB2312"/>
          <w:sz w:val="28"/>
          <w:szCs w:val="28"/>
          <w:highlight w:val="none"/>
        </w:rPr>
        <w:t>9.1本项目不组织踏勘现场,投标人自行组织踏勘现场。</w:t>
      </w:r>
    </w:p>
    <w:p>
      <w:pPr>
        <w:spacing w:line="340" w:lineRule="exact"/>
        <w:ind w:firstLine="546" w:firstLineChars="195"/>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9.2 投标人踏勘现场发生的费用自理。</w:t>
      </w:r>
    </w:p>
    <w:p>
      <w:pPr>
        <w:spacing w:line="340" w:lineRule="exact"/>
        <w:ind w:firstLine="546" w:firstLineChars="195"/>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9.3 除招标人的原因外，投标人自行负责在踏勘现场中所发生的人员伤亡和财产损失。</w:t>
      </w:r>
    </w:p>
    <w:p>
      <w:pPr>
        <w:spacing w:line="340" w:lineRule="exact"/>
        <w:ind w:firstLine="546" w:firstLineChars="195"/>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9.4 招标人在踏勘现场中介绍的场地和相关的周边环境情况，供投标人在编制投标文件时参考，招标人不对投标人据此作出的判断和决策负责。</w:t>
      </w:r>
    </w:p>
    <w:p>
      <w:pPr>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10. 投标预备会</w:t>
      </w:r>
      <w:bookmarkEnd w:id="21"/>
      <w:bookmarkEnd w:id="22"/>
      <w:bookmarkEnd w:id="23"/>
      <w:bookmarkEnd w:id="24"/>
      <w:bookmarkEnd w:id="25"/>
      <w:bookmarkEnd w:id="26"/>
      <w:bookmarkEnd w:id="27"/>
      <w:r>
        <w:rPr>
          <w:rFonts w:hint="eastAsia" w:ascii="仿宋_GB2312" w:hAnsi="仿宋_GB2312" w:eastAsia="仿宋_GB2312" w:cs="仿宋_GB2312"/>
          <w:b/>
          <w:sz w:val="28"/>
          <w:szCs w:val="28"/>
          <w:highlight w:val="none"/>
        </w:rPr>
        <w:t>（本条不采用）</w:t>
      </w:r>
    </w:p>
    <w:p>
      <w:pPr>
        <w:spacing w:line="340" w:lineRule="exact"/>
        <w:ind w:firstLine="546" w:firstLineChars="195"/>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10.1投标人须知前附表规定召开投标预备会的，招标人按投标人须知前附表规定的时间和地点召开投标预备会，澄清投标人提出的问题。</w:t>
      </w:r>
    </w:p>
    <w:p>
      <w:pPr>
        <w:spacing w:line="340" w:lineRule="exact"/>
        <w:ind w:firstLine="546" w:firstLineChars="195"/>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10.2投标人应在投标人须知前附表规定的时间前，将提出的问题送达招标人，以便招标人澄清。</w:t>
      </w:r>
    </w:p>
    <w:p>
      <w:pPr>
        <w:spacing w:line="340" w:lineRule="exact"/>
        <w:ind w:firstLine="546" w:firstLineChars="195"/>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10.3招标人在投标人须知前附表规定的时间，将对投标人所提的问题进行澄清。该澄清内容为招标文件的组成部分。</w:t>
      </w:r>
    </w:p>
    <w:p>
      <w:pPr>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11. 联合投标（本条不采用）</w:t>
      </w:r>
    </w:p>
    <w:p>
      <w:pPr>
        <w:spacing w:line="340" w:lineRule="exact"/>
        <w:ind w:firstLine="546" w:firstLineChars="195"/>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pacing w:line="340" w:lineRule="exact"/>
        <w:ind w:firstLine="546" w:firstLineChars="195"/>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pacing w:line="340" w:lineRule="exact"/>
        <w:ind w:firstLine="548" w:firstLineChars="196"/>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11.3 联合体应当确定其中一个单位为投标的全权代表，负责参加投标的一切事务，并承担投标及履约中应承担的全部责任与义务。</w:t>
      </w:r>
    </w:p>
    <w:p>
      <w:pPr>
        <w:pStyle w:val="3"/>
        <w:spacing w:after="0" w:line="340" w:lineRule="exact"/>
        <w:ind w:left="0" w:leftChars="0" w:firstLine="565" w:firstLineChars="202"/>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11.4 联合体各方应当共同与招标人签订采购合同，就采购合同约定的事项对招标人承担连带责任。</w:t>
      </w:r>
    </w:p>
    <w:p>
      <w:pPr>
        <w:spacing w:line="340" w:lineRule="exact"/>
        <w:ind w:left="210" w:leftChars="100" w:firstLine="281" w:firstLineChars="100"/>
        <w:jc w:val="left"/>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12.招标代理费：</w:t>
      </w:r>
    </w:p>
    <w:p>
      <w:pPr>
        <w:spacing w:line="340" w:lineRule="exact"/>
        <w:ind w:firstLine="560" w:firstLineChars="200"/>
        <w:jc w:val="left"/>
        <w:rPr>
          <w:rFonts w:ascii="仿宋_GB2312" w:hAnsi="仿宋_GB2312" w:eastAsia="仿宋_GB2312" w:cs="仿宋_GB2312"/>
          <w:bCs/>
          <w:sz w:val="28"/>
          <w:szCs w:val="28"/>
          <w:highlight w:val="none"/>
        </w:rPr>
      </w:pPr>
      <w:r>
        <w:rPr>
          <w:rFonts w:hint="eastAsia" w:ascii="仿宋_GB2312" w:hAnsi="仿宋_GB2312" w:eastAsia="仿宋_GB2312" w:cs="仿宋_GB2312"/>
          <w:sz w:val="28"/>
          <w:szCs w:val="28"/>
          <w:highlight w:val="none"/>
        </w:rPr>
        <w:t>12.1本项目的招标代理费详见投标人须知前附表。</w:t>
      </w:r>
    </w:p>
    <w:p>
      <w:pPr>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13.投标人应注意的事项</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13.1投标人一旦下载了本招标文件并参加投标，即被认为接受了本招标文件中的所有条件和规定。投标人必须严格按招标文件的要求编制投标文件。</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13.2法定代表人参加开标会议，应携带法定代表人身份证明和本人身份证；委托代理人参加开标会议应携带法定代表人授权书和本人身份证。</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13.3 所有投标人的投标保证金都应在投标文件规定的投标保证金缴纳截止时间前缴纳，以资金到账时间为准。（本条不作要求）</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13.4  法定代表人为同一个人的两个及两个以上法人，母公司、全资子公司及其控股公司，均不得同时参加本项目同一包别（标段）的投标。</w:t>
      </w:r>
    </w:p>
    <w:p>
      <w:pPr>
        <w:spacing w:line="340" w:lineRule="exact"/>
        <w:ind w:firstLine="548" w:firstLineChars="196"/>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13.5  投标人被视为充分熟悉本招标项目所在地的与履行合同有关的各种情况。</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14.政府采购政策性要求。本项目执行政府采购节约能源、保护环境、扶持不发达地区和少数民族地区、促进中小企业发展等政府采购政策。（本条不作要求）</w:t>
      </w:r>
    </w:p>
    <w:p>
      <w:pPr>
        <w:pStyle w:val="6"/>
        <w:numPr>
          <w:ilvl w:val="0"/>
          <w:numId w:val="0"/>
        </w:numPr>
        <w:spacing w:line="340" w:lineRule="exact"/>
        <w:jc w:val="center"/>
        <w:rPr>
          <w:rFonts w:ascii="仿宋_GB2312" w:hAnsi="仿宋_GB2312" w:eastAsia="仿宋_GB2312" w:cs="仿宋_GB2312"/>
          <w:sz w:val="28"/>
          <w:szCs w:val="28"/>
          <w:highlight w:val="none"/>
        </w:rPr>
      </w:pPr>
      <w:bookmarkStart w:id="28" w:name="_Toc449028868"/>
      <w:bookmarkStart w:id="29" w:name="_Toc27154"/>
      <w:bookmarkStart w:id="30" w:name="_Toc6018"/>
      <w:r>
        <w:rPr>
          <w:rFonts w:hint="eastAsia" w:ascii="仿宋_GB2312" w:hAnsi="仿宋_GB2312" w:eastAsia="仿宋_GB2312" w:cs="仿宋_GB2312"/>
          <w:sz w:val="28"/>
          <w:szCs w:val="28"/>
          <w:highlight w:val="none"/>
        </w:rPr>
        <w:t>（二）</w:t>
      </w:r>
      <w:bookmarkEnd w:id="28"/>
      <w:bookmarkEnd w:id="29"/>
      <w:bookmarkEnd w:id="30"/>
      <w:r>
        <w:rPr>
          <w:rFonts w:hint="eastAsia" w:ascii="仿宋_GB2312" w:hAnsi="仿宋_GB2312" w:eastAsia="仿宋_GB2312" w:cs="仿宋_GB2312"/>
          <w:sz w:val="28"/>
          <w:szCs w:val="28"/>
          <w:highlight w:val="none"/>
        </w:rPr>
        <w:t>招标文件</w:t>
      </w:r>
    </w:p>
    <w:p>
      <w:pPr>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15. 招标文件的编制依据</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根据《中华人民共和国政府采购法及其实施条例》、《政府采购货物和服务招标投标管理办法》和《中华人民共和国民法典》</w:t>
      </w:r>
      <w:r>
        <w:rPr>
          <w:rFonts w:hint="eastAsia" w:ascii="仿宋_GB2312" w:hAnsi="仿宋_GB2312" w:eastAsia="仿宋_GB2312" w:cs="仿宋_GB2312"/>
          <w:spacing w:val="-2"/>
          <w:sz w:val="28"/>
          <w:szCs w:val="28"/>
          <w:highlight w:val="none"/>
        </w:rPr>
        <w:t>等相关法律法规和规章及部、省、市级规范性文件的规定，编制本招标文件。</w:t>
      </w:r>
    </w:p>
    <w:p>
      <w:pPr>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16. 招标文件的组成</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16.1 招标文件包括内容：</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第一章  招标公告</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第二章  投标须知</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第三章  评标办法</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第四章  采购需求及要求</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第五章  投标文件格式文本</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第六章  招标单位、招标代理机构对本文件的确认</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16.2 除16.1内容外，招标答疑亦为招标文件的组成部分，对招标人和投标人起约束作用。</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16.3投标人应仔细阅读和检查招标文件的全部内容。如发现缺页或附件不全，应及时向采购人提出，以便补齐。如有疑问，应按投标人须知前附表规定的时间和方式提交疑问内容，要求采购人对招标文件予以澄清。</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16.4 招标文件的澄清将在国家级滁州经济技术开发区官网发布，但不指明澄清问题的来源。如果澄清内容影响投标文件编制的，将相应延长投标截止时间。</w:t>
      </w:r>
    </w:p>
    <w:p>
      <w:pPr>
        <w:spacing w:line="340" w:lineRule="exact"/>
        <w:ind w:firstLine="562" w:firstLineChars="200"/>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17. 招标文件的修改、补充、解释</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17.1 招标文件发出后，招标人在规定的投标截止时间前可对招标文件进行必要的修改和补充，并以澄清公告形式在国家级滁州经济技术开发区官网予以公告，请各位投标人注意查看有关澄清内容，如不及时查看造成后果由投标人自负。招标文件的修改、补充等内容作为招标文件的组成部分，具有约束作用。</w:t>
      </w:r>
    </w:p>
    <w:p>
      <w:pPr>
        <w:spacing w:line="340" w:lineRule="exact"/>
        <w:ind w:firstLine="560" w:firstLineChars="200"/>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17.2 投标人应在投标截止时间前关注招标信息发布媒体上有关本项目有无变更公告，如不及时查看造成后果由投标人自负。</w:t>
      </w:r>
    </w:p>
    <w:p>
      <w:pPr>
        <w:spacing w:line="340" w:lineRule="exact"/>
        <w:ind w:firstLine="560" w:firstLineChars="200"/>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17.3招标文件的解释</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本招标文件条款内容解释权在法律规定的范围内归招标人所有。</w:t>
      </w:r>
    </w:p>
    <w:p>
      <w:pPr>
        <w:spacing w:line="340" w:lineRule="exact"/>
        <w:ind w:firstLine="562"/>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18. 招标文件的发出</w:t>
      </w:r>
    </w:p>
    <w:p>
      <w:pPr>
        <w:spacing w:line="340" w:lineRule="exact"/>
        <w:ind w:firstLine="420" w:firstLineChars="15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18.1  招标文件、招标文件的澄清、修改、补充及招标答疑等均应在国家级滁州经济技术开发区官网</w:t>
      </w:r>
      <w:r>
        <w:rPr>
          <w:rFonts w:hint="eastAsia" w:ascii="仿宋_GB2312" w:hAnsi="仿宋_GB2312" w:eastAsia="仿宋_GB2312" w:cs="仿宋_GB2312"/>
          <w:spacing w:val="-4"/>
          <w:sz w:val="28"/>
          <w:szCs w:val="28"/>
          <w:highlight w:val="none"/>
        </w:rPr>
        <w:t>发布</w:t>
      </w:r>
      <w:r>
        <w:rPr>
          <w:rFonts w:hint="eastAsia" w:ascii="仿宋_GB2312" w:hAnsi="仿宋_GB2312" w:eastAsia="仿宋_GB2312" w:cs="仿宋_GB2312"/>
          <w:sz w:val="28"/>
          <w:szCs w:val="28"/>
          <w:highlight w:val="none"/>
        </w:rPr>
        <w:t>。</w:t>
      </w:r>
    </w:p>
    <w:p>
      <w:pPr>
        <w:spacing w:line="340" w:lineRule="exact"/>
        <w:ind w:firstLine="562"/>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19.最高限价的作用和说明</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19.1本项目最高限价见投标人须知前附表。</w:t>
      </w:r>
    </w:p>
    <w:p>
      <w:pPr>
        <w:pStyle w:val="6"/>
        <w:numPr>
          <w:ilvl w:val="0"/>
          <w:numId w:val="0"/>
        </w:numPr>
        <w:spacing w:line="340" w:lineRule="exact"/>
        <w:jc w:val="center"/>
        <w:rPr>
          <w:rFonts w:ascii="仿宋_GB2312" w:hAnsi="仿宋_GB2312" w:eastAsia="仿宋_GB2312" w:cs="仿宋_GB2312"/>
          <w:sz w:val="28"/>
          <w:szCs w:val="28"/>
          <w:highlight w:val="none"/>
        </w:rPr>
      </w:pPr>
      <w:bookmarkStart w:id="31" w:name="_Toc449028869"/>
      <w:bookmarkStart w:id="32" w:name="_Toc19784"/>
      <w:bookmarkStart w:id="33" w:name="_Toc2857"/>
      <w:r>
        <w:rPr>
          <w:rFonts w:hint="eastAsia" w:ascii="仿宋_GB2312" w:hAnsi="仿宋_GB2312" w:eastAsia="仿宋_GB2312" w:cs="仿宋_GB2312"/>
          <w:sz w:val="28"/>
          <w:szCs w:val="28"/>
          <w:highlight w:val="none"/>
        </w:rPr>
        <w:t>（三）投标文件的编制</w:t>
      </w:r>
      <w:bookmarkEnd w:id="31"/>
      <w:bookmarkEnd w:id="32"/>
      <w:bookmarkEnd w:id="33"/>
    </w:p>
    <w:p>
      <w:pPr>
        <w:spacing w:line="340" w:lineRule="exact"/>
        <w:ind w:firstLine="408" w:firstLineChars="145"/>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20. 投标的语言及度量衡单位</w:t>
      </w:r>
    </w:p>
    <w:p>
      <w:pPr>
        <w:spacing w:line="340" w:lineRule="exact"/>
        <w:ind w:left="267" w:leftChars="127" w:firstLine="140" w:firstLineChars="5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20.1投标人的投标书、以及投标人与招标人就投标的所有往来函电，均须使用简体中文。</w:t>
      </w:r>
    </w:p>
    <w:p>
      <w:pPr>
        <w:spacing w:line="340" w:lineRule="exact"/>
        <w:ind w:firstLine="420" w:firstLineChars="15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20.2除招标文件中另有规定外，投标书所使用的度量衡均须采用法定计量单位。</w:t>
      </w:r>
    </w:p>
    <w:p>
      <w:pPr>
        <w:spacing w:line="340" w:lineRule="exact"/>
        <w:ind w:firstLine="275" w:firstLineChars="98"/>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21. 投标文件的组成</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投标文件由投标文件一（资信证明文件）、投标文件二（商务标）两部分组成。具体内容详见第五章投标文件格式内容。</w:t>
      </w:r>
      <w:r>
        <w:rPr>
          <w:rFonts w:hint="eastAsia" w:ascii="仿宋_GB2312" w:hAnsi="仿宋_GB2312" w:eastAsia="仿宋_GB2312" w:cs="仿宋_GB2312"/>
          <w:sz w:val="28"/>
          <w:szCs w:val="28"/>
          <w:highlight w:val="none"/>
        </w:rPr>
        <w:t>均须装订成册和密封。</w:t>
      </w:r>
    </w:p>
    <w:p>
      <w:pPr>
        <w:spacing w:line="340" w:lineRule="exact"/>
        <w:ind w:firstLine="562" w:firstLineChars="200"/>
        <w:rPr>
          <w:rFonts w:ascii="仿宋_GB2312" w:hAnsi="仿宋_GB2312" w:eastAsia="仿宋_GB2312" w:cs="仿宋_GB2312"/>
          <w:sz w:val="28"/>
          <w:szCs w:val="28"/>
          <w:highlight w:val="none"/>
        </w:rPr>
      </w:pPr>
      <w:r>
        <w:rPr>
          <w:rFonts w:hint="eastAsia" w:ascii="仿宋_GB2312" w:hAnsi="仿宋_GB2312" w:eastAsia="仿宋_GB2312" w:cs="仿宋_GB2312"/>
          <w:b/>
          <w:sz w:val="28"/>
          <w:szCs w:val="28"/>
          <w:highlight w:val="none"/>
        </w:rPr>
        <w:t>22</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b/>
          <w:sz w:val="28"/>
          <w:szCs w:val="28"/>
          <w:highlight w:val="none"/>
        </w:rPr>
        <w:t>投标报价</w:t>
      </w:r>
    </w:p>
    <w:p>
      <w:pPr>
        <w:tabs>
          <w:tab w:val="left" w:pos="1035"/>
        </w:tabs>
        <w:spacing w:line="360" w:lineRule="exact"/>
        <w:ind w:firstLine="548" w:firstLineChars="196"/>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22.1</w:t>
      </w:r>
      <w:r>
        <w:rPr>
          <w:rFonts w:hint="eastAsia" w:ascii="仿宋_GB2312" w:hAnsi="仿宋_GB2312" w:eastAsia="仿宋_GB2312" w:cs="仿宋_GB2312"/>
          <w:color w:val="000000"/>
          <w:sz w:val="28"/>
          <w:szCs w:val="28"/>
          <w:highlight w:val="none"/>
        </w:rPr>
        <w:t>投标人应按“采购内容及技术参数要求”所列货物逐项进行单价报价。综合单价包括：人工费、材料费【包括所有材料的生产（购买）、包装、运输、装卸、加工（含加工过程中的主要及辅助材料损耗）】、安装费、机械费、管理费、利润、风险费用、安装措施费用、招标代理费用、调试、验收（含专家评审费）、培训及后期服务及国家对中标单位征收的各种税费等所有一切费用，综合单价今后将不作任何调整。</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22.2投标人只允许有一个方案、一个报价。</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22.3投标人应按项目要求进行报价，最终按投标报价进行结算，固定报价今后将不作任何调整。</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22.4投标报价是完成项目，且满足招标人所有要求最终结算依据，其报价即为履行合同的固定报价。</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22.5投标报价应由法定代表人或被授权人签署。</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22.6投标文件报价为含税价，招标人不再为此次招标支付任何费用。</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22.7</w:t>
      </w:r>
      <w:r>
        <w:rPr>
          <w:rFonts w:hint="eastAsia" w:ascii="仿宋_GB2312" w:hAnsi="仿宋_GB2312" w:eastAsia="仿宋_GB2312" w:cs="仿宋_GB2312"/>
          <w:bCs/>
          <w:sz w:val="28"/>
          <w:szCs w:val="28"/>
          <w:highlight w:val="none"/>
        </w:rPr>
        <w:t>投标人的报价不得高于本次招标发包价</w:t>
      </w:r>
      <w:r>
        <w:rPr>
          <w:rFonts w:hint="eastAsia" w:ascii="仿宋_GB2312" w:hAnsi="仿宋_GB2312" w:eastAsia="仿宋_GB2312" w:cs="仿宋_GB2312"/>
          <w:b/>
          <w:sz w:val="28"/>
          <w:szCs w:val="28"/>
          <w:highlight w:val="none"/>
        </w:rPr>
        <w:t>，</w:t>
      </w:r>
      <w:r>
        <w:rPr>
          <w:rFonts w:hint="eastAsia" w:ascii="仿宋_GB2312" w:hAnsi="仿宋_GB2312" w:eastAsia="仿宋_GB2312" w:cs="仿宋_GB2312"/>
          <w:b/>
          <w:bCs/>
          <w:sz w:val="28"/>
          <w:szCs w:val="28"/>
          <w:highlight w:val="none"/>
        </w:rPr>
        <w:t>否则将作为无效投标处理。</w:t>
      </w:r>
    </w:p>
    <w:p>
      <w:pPr>
        <w:spacing w:line="340" w:lineRule="exact"/>
        <w:ind w:firstLine="560" w:firstLineChars="200"/>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22.8</w:t>
      </w:r>
      <w:r>
        <w:rPr>
          <w:rFonts w:hint="eastAsia" w:ascii="仿宋_GB2312" w:hAnsi="仿宋_GB2312" w:eastAsia="仿宋_GB2312" w:cs="仿宋_GB2312"/>
          <w:sz w:val="28"/>
          <w:szCs w:val="28"/>
          <w:highlight w:val="none"/>
        </w:rPr>
        <w:t>如投标文件中未列明全面实现投标相应技术等的费用，这些费用将被视为已包含在总投标价中。</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22.9总投标价中不得包含招标文件要求以外的内容，否则，在评标时不予核减，但在授予合同时，招标人有权将这部分价格从其中标价格中扣除。</w:t>
      </w:r>
    </w:p>
    <w:p>
      <w:pPr>
        <w:spacing w:line="340" w:lineRule="exact"/>
        <w:ind w:firstLine="537" w:firstLineChars="192"/>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22.10总投标价中不得缺漏招标文件所要求的内容，否则，评标时将有效投标中该项内容的最高价计入其评标总价，但在授予合同时，缺漏项目的报价视作已含在其他项目的报价中，这些项目将作为免费赠送而包含在合同内。</w:t>
      </w:r>
    </w:p>
    <w:p>
      <w:pPr>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23. 投标有效期</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23.1 除投标人须知前附表另有规定外，投标有效期为30天。</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23.2在投标有效期内，投标人撤销或修改其投标文件的，应承担招标文件和法律规定的责任。</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40" w:lineRule="exact"/>
        <w:ind w:firstLine="540" w:firstLineChars="192"/>
        <w:rPr>
          <w:rFonts w:ascii="仿宋_GB2312" w:hAnsi="仿宋_GB2312" w:eastAsia="仿宋_GB2312" w:cs="仿宋_GB2312"/>
          <w:sz w:val="28"/>
          <w:szCs w:val="28"/>
          <w:highlight w:val="none"/>
        </w:rPr>
      </w:pPr>
      <w:r>
        <w:rPr>
          <w:rFonts w:hint="eastAsia" w:ascii="仿宋_GB2312" w:hAnsi="仿宋_GB2312" w:eastAsia="仿宋_GB2312" w:cs="仿宋_GB2312"/>
          <w:b/>
          <w:sz w:val="28"/>
          <w:szCs w:val="28"/>
          <w:highlight w:val="none"/>
        </w:rPr>
        <w:t>24. 投标保证金（不采用）</w:t>
      </w:r>
      <w:bookmarkStart w:id="34" w:name="_Toc20490"/>
      <w:bookmarkStart w:id="35" w:name="_Toc449028870"/>
      <w:bookmarkStart w:id="36" w:name="_Toc9803"/>
    </w:p>
    <w:p>
      <w:pPr>
        <w:pStyle w:val="6"/>
        <w:numPr>
          <w:ilvl w:val="0"/>
          <w:numId w:val="0"/>
        </w:numPr>
        <w:spacing w:line="34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（四）投标文件的密封和递交</w:t>
      </w:r>
      <w:bookmarkEnd w:id="34"/>
      <w:bookmarkEnd w:id="35"/>
      <w:bookmarkEnd w:id="36"/>
    </w:p>
    <w:p>
      <w:pPr>
        <w:spacing w:line="340" w:lineRule="exact"/>
        <w:ind w:firstLine="562"/>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25. 投标文件的份数和签署</w:t>
      </w:r>
    </w:p>
    <w:p>
      <w:pPr>
        <w:spacing w:line="340" w:lineRule="exact"/>
        <w:ind w:firstLine="560" w:firstLineChars="200"/>
        <w:jc w:val="left"/>
        <w:rPr>
          <w:rFonts w:ascii="仿宋_GB2312" w:hAnsi="仿宋_GB2312" w:eastAsia="仿宋_GB2312" w:cs="仿宋_GB2312"/>
          <w:sz w:val="28"/>
          <w:szCs w:val="28"/>
          <w:highlight w:val="none"/>
        </w:rPr>
      </w:pPr>
      <w:bookmarkStart w:id="37" w:name="_Toc449028871"/>
      <w:r>
        <w:rPr>
          <w:rFonts w:hint="eastAsia" w:ascii="仿宋_GB2312" w:hAnsi="仿宋_GB2312" w:eastAsia="仿宋_GB2312" w:cs="仿宋_GB2312"/>
          <w:sz w:val="28"/>
          <w:szCs w:val="28"/>
          <w:highlight w:val="none"/>
        </w:rPr>
        <w:t>25.1  投标文件一式 三 份，正本 一 份，副本 二 份。</w:t>
      </w:r>
    </w:p>
    <w:p>
      <w:pPr>
        <w:spacing w:line="340" w:lineRule="exact"/>
        <w:ind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25.2  投标文件的正本和副本均需打印或使用不褪色的蓝、黑墨水笔书写，字迹应清晰易于辩认，并应在投标文件封面的右上角清楚地注明“正本”或“副本”。正本和副本如不符，以正本为准。</w:t>
      </w:r>
    </w:p>
    <w:p>
      <w:pPr>
        <w:spacing w:line="340" w:lineRule="exact"/>
        <w:ind w:firstLine="420" w:firstLineChars="15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25.3  投标文件中的授权书、投标函及报价一览表等应当在格式文本要求的相应位置签字和盖章。</w:t>
      </w:r>
    </w:p>
    <w:p>
      <w:pPr>
        <w:spacing w:line="340" w:lineRule="exact"/>
        <w:ind w:firstLine="420" w:firstLineChars="15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25.4全套投标文件应无修改和行间插字。如有修改，须在修改处加盖投标单位法定代表人或其委托代理人的印鉴。</w:t>
      </w:r>
    </w:p>
    <w:p>
      <w:pPr>
        <w:spacing w:line="340" w:lineRule="exact"/>
        <w:ind w:firstLine="413" w:firstLineChars="147"/>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26．投标文件的装订、密封和标记</w:t>
      </w:r>
    </w:p>
    <w:p>
      <w:pPr>
        <w:spacing w:line="340" w:lineRule="exact"/>
        <w:ind w:firstLine="420" w:firstLineChars="15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26.1  投标文件的装订</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26.1.1投标文件应按A4纸大小进行装订，对于较大图、表，可采用A3纸，但需要按A4纸大小进行折叠、装订，资信标、商务标应当分别装订。投标文件的正本与副本应分别装订成册,具体装订要求见投标人须知前附表规定。</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26.1.2如果所投项目分有多个包（标段），则投标书必须以包（标段）为单位进行封装，并在密封袋上标识标段号。</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26.2  投标文件的密封和标记</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26.2.1  资信标、商务标须进行包装、密封，并在封套加盖投标人单位章。</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26.2.2 投标文件封套上应写明的内容及具体密封要求见投标人须知前附表。</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26.2.3 应按本章第26.2.1项或26.2.2项中大包装袋要求密封和加写标记的投标文件。</w:t>
      </w:r>
    </w:p>
    <w:p>
      <w:pPr>
        <w:spacing w:line="340" w:lineRule="exact"/>
        <w:ind w:firstLine="416" w:firstLineChars="148"/>
        <w:jc w:val="left"/>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27.投标文件的提交</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27.1 投标人应在投标人须知前附表规定的投标截止时间前递交投标文件。</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27.2 投标人递交投标文件的地点：见投标人须知前附表。</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27.3 除投标人须知前附表另有规定外，投标人所递交的投标文件不予退还。</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27.4 招标人收到投标文件后，应让投标单位登记确认。</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27.5 逾期送达的或者未送达指定地点的投标文件，招标人不予受理。</w:t>
      </w:r>
    </w:p>
    <w:p>
      <w:pPr>
        <w:spacing w:line="340" w:lineRule="exact"/>
        <w:ind w:firstLine="419" w:firstLineChars="149"/>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28．投标文件的补充、修改与撤回</w:t>
      </w:r>
    </w:p>
    <w:p>
      <w:pPr>
        <w:spacing w:line="340" w:lineRule="exact"/>
        <w:ind w:firstLine="420" w:firstLineChars="15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28.1  投标人在提交投标文件以后，在规定的投标截止时间之前，可以书面形式补充、修改或撤回已提交的投标文件，并以书面形式通知招标人。补充、修改的内容为投标文件的组成部分。</w:t>
      </w:r>
    </w:p>
    <w:p>
      <w:pPr>
        <w:spacing w:line="340" w:lineRule="exact"/>
        <w:ind w:firstLine="280" w:firstLineChars="1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28.2  投标人对投标文件的补充、修改，应按本须知第25条、第26条和第27条有关规定密封、标记和提交，并在投标文件密封袋上清楚标明“补充”、“修改”字样。</w:t>
      </w:r>
    </w:p>
    <w:p>
      <w:pPr>
        <w:autoSpaceDE w:val="0"/>
        <w:autoSpaceDN w:val="0"/>
        <w:adjustRightInd w:val="0"/>
        <w:spacing w:line="340" w:lineRule="exact"/>
        <w:ind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28.3  在投标截止时间之后，投标人不得补充、修改投标文件。</w:t>
      </w:r>
    </w:p>
    <w:p>
      <w:pPr>
        <w:pStyle w:val="6"/>
        <w:numPr>
          <w:ilvl w:val="0"/>
          <w:numId w:val="0"/>
        </w:numPr>
        <w:spacing w:line="340" w:lineRule="exact"/>
        <w:jc w:val="center"/>
        <w:rPr>
          <w:rFonts w:ascii="仿宋_GB2312" w:hAnsi="仿宋_GB2312" w:eastAsia="仿宋_GB2312" w:cs="仿宋_GB2312"/>
          <w:sz w:val="28"/>
          <w:szCs w:val="28"/>
          <w:highlight w:val="none"/>
        </w:rPr>
      </w:pPr>
      <w:bookmarkStart w:id="38" w:name="_Toc29877"/>
      <w:bookmarkStart w:id="39" w:name="_Toc12387"/>
      <w:r>
        <w:rPr>
          <w:rFonts w:hint="eastAsia" w:ascii="仿宋_GB2312" w:hAnsi="仿宋_GB2312" w:eastAsia="仿宋_GB2312" w:cs="仿宋_GB2312"/>
          <w:sz w:val="28"/>
          <w:szCs w:val="28"/>
          <w:highlight w:val="none"/>
        </w:rPr>
        <w:t>（五）开标、评标和定标</w:t>
      </w:r>
      <w:bookmarkEnd w:id="37"/>
      <w:bookmarkEnd w:id="38"/>
      <w:bookmarkEnd w:id="39"/>
    </w:p>
    <w:p>
      <w:pPr>
        <w:spacing w:line="340" w:lineRule="exact"/>
        <w:ind w:firstLine="562"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29. 开标</w:t>
      </w:r>
    </w:p>
    <w:p>
      <w:pPr>
        <w:spacing w:line="340" w:lineRule="exact"/>
        <w:ind w:firstLine="420" w:firstLineChars="15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29.1  开标的时间和地点</w:t>
      </w:r>
    </w:p>
    <w:p>
      <w:pPr>
        <w:spacing w:line="340" w:lineRule="exact"/>
        <w:ind w:firstLine="420" w:firstLineChars="15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29.1.1招标人按本须知第27条提交投标文件的截止时间和地点公开开标。</w:t>
      </w:r>
    </w:p>
    <w:p>
      <w:pPr>
        <w:spacing w:line="340" w:lineRule="exact"/>
        <w:ind w:firstLine="420" w:firstLineChars="15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29.2  参与开标的部门</w:t>
      </w:r>
    </w:p>
    <w:p>
      <w:pPr>
        <w:spacing w:line="340" w:lineRule="exact"/>
        <w:ind w:firstLine="420" w:firstLineChars="150"/>
        <w:jc w:val="left"/>
        <w:rPr>
          <w:rFonts w:ascii="仿宋_GB2312" w:hAnsi="仿宋_GB2312" w:eastAsia="仿宋_GB2312" w:cs="仿宋_GB2312"/>
          <w:spacing w:val="-8"/>
          <w:sz w:val="28"/>
          <w:szCs w:val="28"/>
          <w:highlight w:val="none"/>
        </w:rPr>
      </w:pPr>
      <w:r>
        <w:rPr>
          <w:rFonts w:hint="eastAsia" w:ascii="仿宋_GB2312" w:hAnsi="仿宋_GB2312" w:eastAsia="仿宋_GB2312" w:cs="仿宋_GB2312"/>
          <w:sz w:val="28"/>
          <w:szCs w:val="28"/>
          <w:highlight w:val="none"/>
        </w:rPr>
        <w:t>29.2.1参与开标的部门：社区居委会、居务监督委员会等参加。</w:t>
      </w:r>
    </w:p>
    <w:p>
      <w:pPr>
        <w:adjustRightInd w:val="0"/>
        <w:snapToGrid w:val="0"/>
        <w:spacing w:line="340" w:lineRule="exact"/>
        <w:ind w:firstLine="420" w:firstLineChars="15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29.3开标程序</w:t>
      </w:r>
    </w:p>
    <w:p>
      <w:pPr>
        <w:spacing w:line="340" w:lineRule="exact"/>
        <w:ind w:right="-155" w:rightChars="-74" w:firstLine="840" w:firstLineChars="3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开标会议由招标代理机构</w:t>
      </w:r>
      <w:r>
        <w:rPr>
          <w:rFonts w:hint="eastAsia" w:ascii="仿宋_GB2312" w:hAnsi="仿宋_GB2312" w:eastAsia="仿宋_GB2312" w:cs="仿宋_GB2312"/>
          <w:sz w:val="28"/>
          <w:szCs w:val="28"/>
          <w:highlight w:val="none"/>
          <w:u w:val="single"/>
        </w:rPr>
        <w:t>安徽求是工程建设咨询有限公司</w:t>
      </w:r>
      <w:r>
        <w:rPr>
          <w:rFonts w:hint="eastAsia" w:ascii="仿宋_GB2312" w:hAnsi="仿宋_GB2312" w:eastAsia="仿宋_GB2312" w:cs="仿宋_GB2312"/>
          <w:sz w:val="28"/>
          <w:szCs w:val="28"/>
          <w:highlight w:val="none"/>
        </w:rPr>
        <w:t>主持。</w:t>
      </w:r>
    </w:p>
    <w:p>
      <w:pPr>
        <w:spacing w:line="340" w:lineRule="exact"/>
        <w:ind w:right="-155" w:rightChars="-74" w:firstLine="280" w:firstLineChars="1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（1）宣布开标纪律；</w:t>
      </w:r>
    </w:p>
    <w:p>
      <w:pPr>
        <w:spacing w:line="340" w:lineRule="exact"/>
        <w:ind w:right="-155" w:rightChars="-74" w:firstLine="280" w:firstLineChars="1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（2）宣布招标（采购）人、代理机构主持人等有关人员姓名；</w:t>
      </w:r>
    </w:p>
    <w:p>
      <w:pPr>
        <w:spacing w:line="340" w:lineRule="exact"/>
        <w:ind w:right="-155" w:rightChars="-74" w:firstLine="280" w:firstLineChars="1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（3）公布在投标截止时间前递交投标文件的投标人名称等；</w:t>
      </w:r>
    </w:p>
    <w:p>
      <w:pPr>
        <w:spacing w:line="340" w:lineRule="exact"/>
        <w:ind w:right="-155" w:rightChars="-74" w:firstLine="280" w:firstLineChars="1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（4）检查投标文件密封情况；</w:t>
      </w:r>
    </w:p>
    <w:p>
      <w:pPr>
        <w:spacing w:line="340" w:lineRule="exact"/>
        <w:ind w:right="-155" w:rightChars="-74" w:firstLine="280" w:firstLineChars="1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（5）拆封标书交由评审小组评审合格后，公布投标人投标报价、服务期限及其他内容，并记录在案；</w:t>
      </w:r>
    </w:p>
    <w:p>
      <w:pPr>
        <w:spacing w:line="340" w:lineRule="exact"/>
        <w:ind w:right="-155" w:rightChars="-74" w:firstLine="280" w:firstLineChars="1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（6）开标结束。</w:t>
      </w:r>
    </w:p>
    <w:p>
      <w:pPr>
        <w:spacing w:line="340" w:lineRule="exact"/>
        <w:ind w:right="-155" w:rightChars="-74" w:firstLine="280" w:firstLineChars="1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29.4开标异议</w:t>
      </w:r>
    </w:p>
    <w:p>
      <w:pPr>
        <w:wordWrap w:val="0"/>
        <w:spacing w:line="340" w:lineRule="exact"/>
        <w:ind w:firstLine="478" w:firstLineChars="171"/>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投标人对开标有异议的，应当在开标现场提出，招标人当场作出答复，并制作记录。</w:t>
      </w:r>
    </w:p>
    <w:p>
      <w:pPr>
        <w:spacing w:line="340" w:lineRule="exact"/>
        <w:ind w:firstLine="562"/>
        <w:jc w:val="left"/>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30.评审小组</w:t>
      </w:r>
    </w:p>
    <w:p>
      <w:pPr>
        <w:spacing w:line="340" w:lineRule="exact"/>
        <w:ind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30.1  评审小组的组成</w:t>
      </w:r>
    </w:p>
    <w:p>
      <w:pPr>
        <w:spacing w:line="340" w:lineRule="exact"/>
        <w:ind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30.1.1评标由</w:t>
      </w:r>
      <w:r>
        <w:rPr>
          <w:rFonts w:hint="eastAsia" w:ascii="仿宋_GB2312" w:hAnsi="仿宋_GB2312" w:eastAsia="仿宋_GB2312" w:cs="仿宋_GB2312"/>
          <w:kern w:val="0"/>
          <w:sz w:val="28"/>
          <w:szCs w:val="28"/>
          <w:highlight w:val="none"/>
        </w:rPr>
        <w:t>评审小组由招标人组建</w:t>
      </w:r>
      <w:r>
        <w:rPr>
          <w:rFonts w:hint="eastAsia" w:ascii="仿宋_GB2312" w:hAnsi="仿宋_GB2312" w:eastAsia="仿宋_GB2312" w:cs="仿宋_GB2312"/>
          <w:sz w:val="28"/>
          <w:szCs w:val="28"/>
          <w:highlight w:val="none"/>
        </w:rPr>
        <w:t>的评审小组负责。</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30.1.2评审小组负责人依法推荐或确定。</w:t>
      </w:r>
    </w:p>
    <w:p>
      <w:pPr>
        <w:spacing w:line="340" w:lineRule="exact"/>
        <w:ind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30.2  评审小组成员名单在中标结果确定前应当保密。</w:t>
      </w:r>
    </w:p>
    <w:p>
      <w:pPr>
        <w:spacing w:line="340" w:lineRule="exact"/>
        <w:ind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30.3  评审小组成员有下述情形的，应当主动提出回避：</w:t>
      </w:r>
    </w:p>
    <w:p>
      <w:pPr>
        <w:spacing w:line="340" w:lineRule="exact"/>
        <w:ind w:firstLine="420" w:firstLineChars="15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（1）投标人或投标人主要负责人的近亲属；</w:t>
      </w:r>
    </w:p>
    <w:p>
      <w:pPr>
        <w:spacing w:line="340" w:lineRule="exact"/>
        <w:ind w:firstLine="478" w:firstLineChars="171"/>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（2）项目主管部门或者行政监督部门的人员；</w:t>
      </w:r>
    </w:p>
    <w:p>
      <w:pPr>
        <w:spacing w:line="340" w:lineRule="exact"/>
        <w:ind w:firstLine="478" w:firstLineChars="171"/>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（3）与投标人有经济利益关系；</w:t>
      </w:r>
    </w:p>
    <w:p>
      <w:pPr>
        <w:spacing w:line="340" w:lineRule="exact"/>
        <w:ind w:firstLine="478" w:firstLineChars="171"/>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（4）曾因在招标、评标以及其他与招标投标有关活动中从事违法行为而受过行政处罚或刑事处罚的；</w:t>
      </w:r>
    </w:p>
    <w:p>
      <w:pPr>
        <w:spacing w:line="340" w:lineRule="exact"/>
        <w:ind w:firstLine="478" w:firstLineChars="171"/>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（5）与投标人有其他利害关系。</w:t>
      </w:r>
    </w:p>
    <w:p>
      <w:pPr>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30.4  评审小组应当向招标人提出书面评标报告，并抄送有关行政监督部门。评标报告应当如实记载以下内容：</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（1）基本情况和数据表；</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（2）评审小组成员名单；</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（3）开标记录；</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（4）符合要求的投标人一览表；</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（5）废标情况说明；</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（6）评标标准、评标方法或者评标因素一览表；</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（7）经评审的价格或者评分比较一览表；</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（8）投标人串标、围标等违规行为的确认报告；</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（9）经评审的投标人排序；</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（10）推荐的中标人名单；</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（11）澄清、说明、补正事项纪要。</w:t>
      </w:r>
    </w:p>
    <w:p>
      <w:pPr>
        <w:tabs>
          <w:tab w:val="left" w:pos="720"/>
        </w:tabs>
        <w:spacing w:line="340" w:lineRule="exact"/>
        <w:ind w:firstLine="840" w:firstLineChars="3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30.5评审小组应自觉接受有关监督管理部门的现场监督，评审小组成员与评标活动有关的工作人员和监督人员不得向他人透露对投标文件的评审和比较、中标人的推荐以及与评标有关的其他情况。投标文件及与评标有关的资料应当保密。</w:t>
      </w:r>
    </w:p>
    <w:p>
      <w:pPr>
        <w:spacing w:line="340" w:lineRule="exact"/>
        <w:ind w:firstLine="275" w:firstLineChars="98"/>
        <w:jc w:val="left"/>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31. 评标</w:t>
      </w:r>
    </w:p>
    <w:p>
      <w:pPr>
        <w:spacing w:line="340" w:lineRule="exact"/>
        <w:ind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31.1评标准备工作</w:t>
      </w:r>
    </w:p>
    <w:p>
      <w:pPr>
        <w:spacing w:line="340" w:lineRule="exact"/>
        <w:ind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31.1.1阅读由招标人或招标代理单位编写的招标项目情况的说明材料；</w:t>
      </w:r>
    </w:p>
    <w:p>
      <w:pPr>
        <w:spacing w:line="340" w:lineRule="exact"/>
        <w:ind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31.1.2阅读、研究招标文件和相关评标资料，获取评标所需要的重要信息和数据；</w:t>
      </w:r>
    </w:p>
    <w:p>
      <w:pPr>
        <w:spacing w:line="340" w:lineRule="exact"/>
        <w:ind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31.1.3熟悉招标文件规定的评标方法及在评标过程中需要考虑的相关因素；</w:t>
      </w:r>
    </w:p>
    <w:p>
      <w:pPr>
        <w:spacing w:line="340" w:lineRule="exact"/>
        <w:ind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31.1.4核对评标工作用表。</w:t>
      </w:r>
    </w:p>
    <w:p>
      <w:pPr>
        <w:spacing w:line="340" w:lineRule="exact"/>
        <w:ind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31.2  评标办法</w:t>
      </w:r>
    </w:p>
    <w:p>
      <w:pPr>
        <w:spacing w:line="340" w:lineRule="exact"/>
        <w:ind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31.2.1评审小组按照第三章“评标办法”规定的方法、评审因素、标准和程序对投标文件进行评审。第三章“评标办法”没有规定的方法、评审因素和标准，不作为评标依据。</w:t>
      </w:r>
    </w:p>
    <w:p>
      <w:pPr>
        <w:spacing w:line="340" w:lineRule="exact"/>
        <w:ind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31.3评标原则：</w:t>
      </w:r>
    </w:p>
    <w:p>
      <w:pPr>
        <w:spacing w:line="34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31.3.1遵循公平、公正、科学和择优的原则。</w:t>
      </w:r>
    </w:p>
    <w:p>
      <w:pPr>
        <w:spacing w:line="340" w:lineRule="exact"/>
        <w:ind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31.4 评标报告的签署</w:t>
      </w:r>
    </w:p>
    <w:p>
      <w:pPr>
        <w:spacing w:line="340" w:lineRule="exact"/>
        <w:ind w:firstLine="280" w:firstLineChars="1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31.4.1 评审小组应当编制书面评标报告,所有成员应签字确认。对评标结论持有异议的评审小组成员可以书面方式阐述其不同意见和理由。评审小组成员拒绝在评标报告上签字且不陈述其不同意见和理由的，视为同意评标结论。</w:t>
      </w:r>
    </w:p>
    <w:p>
      <w:pPr>
        <w:spacing w:line="340" w:lineRule="exact"/>
        <w:ind w:firstLine="274" w:firstLineChars="98"/>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31.5 投标文件的澄清</w:t>
      </w:r>
    </w:p>
    <w:p>
      <w:pPr>
        <w:spacing w:line="340" w:lineRule="exact"/>
        <w:ind w:firstLine="280" w:firstLineChars="1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31.5.1 在评标过程中，评审小组认为需要，在监管部门的监督下，可要求投标人对投标文件中的有关问题进行澄清或提供补充说明及有关资料，投标人应做出书面答复。</w:t>
      </w:r>
    </w:p>
    <w:p>
      <w:pPr>
        <w:spacing w:line="340" w:lineRule="exact"/>
        <w:ind w:firstLine="280" w:firstLineChars="1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31.5.2 书面答复须经投标人法定代表人或其委托代理人签字或盖章，签字或盖章的书面答复将被视为投标文件的组成部分。</w:t>
      </w:r>
    </w:p>
    <w:p>
      <w:pPr>
        <w:spacing w:line="340" w:lineRule="exact"/>
        <w:ind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31.6评审意见分歧的处理办法:</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（1）评审小组应当对投标人提供的报告、证明材料及详细说明认真研究。对存在意见分歧的，可采用投票方式表决决定（按多数评委意见为准）；</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（2）招标投标当事人对评标结果提出异议或者投诉，监管部门认为需要重新进行评标的，评审小组成员应当按照监管部门要求重新评标。</w:t>
      </w:r>
    </w:p>
    <w:p>
      <w:pPr>
        <w:spacing w:line="340" w:lineRule="exact"/>
        <w:ind w:firstLine="280" w:firstLineChars="1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31.7评标过程的保密</w:t>
      </w:r>
    </w:p>
    <w:p>
      <w:pPr>
        <w:spacing w:line="340" w:lineRule="exact"/>
        <w:ind w:firstLine="280" w:firstLineChars="1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31.7.1  开标后，直至授予中标人合同为止，凡属于对投标文件的审查、澄清、评价和比较有关的资料以及中标人的推荐情况及与评标有关的其他任何情况均须严格保密。</w:t>
      </w:r>
    </w:p>
    <w:p>
      <w:pPr>
        <w:spacing w:line="340" w:lineRule="exact"/>
        <w:ind w:firstLine="281" w:firstLineChars="100"/>
        <w:jc w:val="left"/>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31.8评标结果公告</w:t>
      </w:r>
    </w:p>
    <w:p>
      <w:pPr>
        <w:snapToGrid w:val="0"/>
        <w:spacing w:line="3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招标人应将所有中标人的情况在国家级滁州经济技术开发区官网予以公告，公告期为1个工作日</w:t>
      </w:r>
      <w:r>
        <w:rPr>
          <w:rFonts w:hint="eastAsia" w:ascii="仿宋_GB2312" w:hAnsi="仿宋_GB2312" w:eastAsia="仿宋_GB2312" w:cs="仿宋_GB2312"/>
          <w:b/>
          <w:bCs/>
          <w:sz w:val="28"/>
          <w:szCs w:val="28"/>
          <w:highlight w:val="none"/>
        </w:rPr>
        <w:t>。</w:t>
      </w:r>
    </w:p>
    <w:p>
      <w:pPr>
        <w:spacing w:line="340" w:lineRule="exact"/>
        <w:ind w:firstLine="275" w:firstLineChars="98"/>
        <w:jc w:val="left"/>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32. 定标</w:t>
      </w:r>
    </w:p>
    <w:p>
      <w:pPr>
        <w:spacing w:line="34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32.1 中标人的确定</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32.1.1除投标人须知前附表规定评审小组直接确定中标人外，招标人依据评审小组推荐的中标候选人确定中标人，评审小组推荐中标候选人的人数见投标人须知前附表。</w:t>
      </w:r>
    </w:p>
    <w:p>
      <w:pPr>
        <w:spacing w:line="340" w:lineRule="exact"/>
        <w:ind w:left="120" w:leftChars="57" w:firstLine="420" w:firstLineChars="15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32.1.2中标人确定后，招标人应将中标人名单在国家级滁州经济技术开发区官网公告。</w:t>
      </w:r>
    </w:p>
    <w:p>
      <w:pPr>
        <w:spacing w:line="340" w:lineRule="exact"/>
        <w:ind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32.2 中标通知书</w:t>
      </w:r>
    </w:p>
    <w:p>
      <w:pPr>
        <w:pStyle w:val="14"/>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32.2.1招标人或招标代理机构应在中标人确定之日起2个工作日内，在国家级滁州经济技术开发区官网站公告中标结果并同时向中标人发出中标通知书。</w:t>
      </w:r>
    </w:p>
    <w:p>
      <w:pPr>
        <w:snapToGrid w:val="0"/>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32.2.2中标通知书须加盖招标人、招标代理公司公章后，方可发出。</w:t>
      </w:r>
    </w:p>
    <w:p>
      <w:pPr>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32.2.3若排名第一或第二的中标候选人放弃中标、因不可抗力提出不能履行合同，或者被查实存在影响中标结果的违法行为等情形，不符合中标条件的，招标人直接指定另外一名中标候选人为中标人。若排名第一和第二的中标候选人放弃中标、因不可抗力提出不能履行合同，或者被查实存在影响中标结果的违法行为等情形，不符合中标条件的，招标人可以依法重新招标。</w:t>
      </w:r>
    </w:p>
    <w:p>
      <w:pPr>
        <w:pStyle w:val="14"/>
        <w:spacing w:line="3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kern w:val="10"/>
          <w:sz w:val="28"/>
          <w:szCs w:val="28"/>
          <w:highlight w:val="none"/>
        </w:rPr>
        <w:t>备注：本协议条款内容解释权在法律规定的范围内归招标人所有。</w:t>
      </w:r>
    </w:p>
    <w:p>
      <w:pPr>
        <w:adjustRightInd w:val="0"/>
        <w:snapToGrid w:val="0"/>
        <w:spacing w:line="340" w:lineRule="exact"/>
        <w:ind w:firstLine="562" w:firstLineChars="200"/>
        <w:rPr>
          <w:rFonts w:ascii="仿宋_GB2312" w:hAnsi="仿宋_GB2312" w:eastAsia="仿宋_GB2312" w:cs="仿宋_GB2312"/>
          <w:b/>
          <w:bCs/>
          <w:sz w:val="28"/>
          <w:szCs w:val="28"/>
          <w:highlight w:val="none"/>
        </w:rPr>
      </w:pPr>
      <w:bookmarkStart w:id="40" w:name="_Toc449028872"/>
      <w:r>
        <w:rPr>
          <w:rFonts w:hint="eastAsia" w:ascii="仿宋_GB2312" w:hAnsi="仿宋_GB2312" w:eastAsia="仿宋_GB2312" w:cs="仿宋_GB2312"/>
          <w:b/>
          <w:bCs/>
          <w:sz w:val="28"/>
          <w:szCs w:val="28"/>
          <w:highlight w:val="none"/>
        </w:rPr>
        <w:t>33.变更交易方式</w:t>
      </w:r>
    </w:p>
    <w:p>
      <w:pPr>
        <w:adjustRightInd w:val="0"/>
        <w:snapToGrid w:val="0"/>
        <w:spacing w:line="340" w:lineRule="exact"/>
        <w:ind w:firstLine="560" w:firstLineChars="200"/>
        <w:rPr>
          <w:rFonts w:ascii="仿宋_GB2312" w:hAnsi="仿宋_GB2312" w:eastAsia="仿宋_GB2312" w:cs="仿宋_GB2312"/>
          <w:kern w:val="10"/>
          <w:sz w:val="28"/>
          <w:szCs w:val="28"/>
          <w:highlight w:val="none"/>
        </w:rPr>
      </w:pPr>
      <w:r>
        <w:rPr>
          <w:rFonts w:hint="eastAsia" w:ascii="仿宋_GB2312" w:hAnsi="仿宋_GB2312" w:eastAsia="仿宋_GB2312" w:cs="仿宋_GB2312"/>
          <w:kern w:val="10"/>
          <w:sz w:val="28"/>
          <w:szCs w:val="28"/>
          <w:highlight w:val="none"/>
        </w:rPr>
        <w:t>33.1投标截止时间结束后提交投标文件的投标人少于3家或者符合专业条件的投标人或对招标文件作出实质性响应的投标人不足3家的，招标人同意后，与符合投标资质的投标单位开展谈判。</w:t>
      </w:r>
      <w:bookmarkEnd w:id="40"/>
    </w:p>
    <w:p>
      <w:pPr>
        <w:pStyle w:val="6"/>
        <w:numPr>
          <w:ilvl w:val="0"/>
          <w:numId w:val="0"/>
        </w:numPr>
        <w:spacing w:line="340" w:lineRule="exact"/>
        <w:jc w:val="center"/>
        <w:rPr>
          <w:rFonts w:ascii="仿宋_GB2312" w:hAnsi="仿宋_GB2312" w:eastAsia="仿宋_GB2312" w:cs="仿宋_GB2312"/>
          <w:sz w:val="28"/>
          <w:szCs w:val="28"/>
          <w:highlight w:val="none"/>
        </w:rPr>
      </w:pPr>
      <w:bookmarkStart w:id="41" w:name="_Toc449028873"/>
      <w:bookmarkStart w:id="42" w:name="_Toc29773"/>
      <w:bookmarkStart w:id="43" w:name="_Toc15248"/>
      <w:r>
        <w:rPr>
          <w:rFonts w:hint="eastAsia" w:ascii="仿宋_GB2312" w:hAnsi="仿宋_GB2312" w:eastAsia="仿宋_GB2312" w:cs="仿宋_GB2312"/>
          <w:sz w:val="28"/>
          <w:szCs w:val="28"/>
          <w:highlight w:val="none"/>
        </w:rPr>
        <w:t>（六）合同的授予</w:t>
      </w:r>
      <w:bookmarkEnd w:id="41"/>
      <w:bookmarkEnd w:id="42"/>
      <w:bookmarkEnd w:id="43"/>
    </w:p>
    <w:p>
      <w:pPr>
        <w:spacing w:line="340" w:lineRule="exact"/>
        <w:ind w:firstLine="694" w:firstLineChars="247"/>
        <w:jc w:val="left"/>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34. 合同授予标准</w:t>
      </w:r>
    </w:p>
    <w:p>
      <w:pPr>
        <w:spacing w:line="340" w:lineRule="exact"/>
        <w:ind w:firstLine="700" w:firstLineChars="25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34.1本招标项目的合同将授予按本投标须知第32条规定所确定的中标人。</w:t>
      </w:r>
    </w:p>
    <w:p>
      <w:pPr>
        <w:spacing w:line="340" w:lineRule="exact"/>
        <w:ind w:firstLine="694" w:firstLineChars="247"/>
        <w:jc w:val="left"/>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35. 合同协议书的签订</w:t>
      </w:r>
    </w:p>
    <w:p>
      <w:pPr>
        <w:spacing w:line="340" w:lineRule="exact"/>
        <w:ind w:firstLine="670" w:firstLineChars="250"/>
        <w:jc w:val="left"/>
        <w:rPr>
          <w:rFonts w:ascii="仿宋_GB2312" w:hAnsi="仿宋_GB2312" w:eastAsia="仿宋_GB2312" w:cs="仿宋_GB2312"/>
          <w:spacing w:val="-6"/>
          <w:sz w:val="28"/>
          <w:szCs w:val="28"/>
          <w:highlight w:val="none"/>
        </w:rPr>
      </w:pPr>
      <w:r>
        <w:rPr>
          <w:rFonts w:hint="eastAsia" w:ascii="仿宋_GB2312" w:hAnsi="仿宋_GB2312" w:eastAsia="仿宋_GB2312" w:cs="仿宋_GB2312"/>
          <w:spacing w:val="-6"/>
          <w:sz w:val="28"/>
          <w:szCs w:val="28"/>
          <w:highlight w:val="none"/>
        </w:rPr>
        <w:t>35.1招标人与中标人将依前附表时间要求订立书面采购合同。招标人和中标人不得再行订立背离合同实质性内容的其他协议。</w:t>
      </w:r>
    </w:p>
    <w:p>
      <w:pPr>
        <w:spacing w:line="340" w:lineRule="exact"/>
        <w:ind w:firstLine="700" w:firstLineChars="25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35.2中标人如不按本投标须知第32条的规定与招标人订立合同，则招标人将废除授标，同时依法承担相应法律责任。</w:t>
      </w:r>
    </w:p>
    <w:p>
      <w:pPr>
        <w:spacing w:line="340" w:lineRule="exact"/>
        <w:ind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35.3中标人应当按照合同约定履行义务，完成中标项目，不得将中标项目转让（转包）给他人。</w:t>
      </w:r>
    </w:p>
    <w:p>
      <w:pPr>
        <w:spacing w:line="340" w:lineRule="exact"/>
        <w:rPr>
          <w:rFonts w:ascii="仿宋_GB2312" w:hAnsi="仿宋_GB2312" w:eastAsia="仿宋_GB2312" w:cs="仿宋_GB2312"/>
          <w:b/>
          <w:sz w:val="28"/>
          <w:szCs w:val="28"/>
          <w:highlight w:val="none"/>
        </w:rPr>
      </w:pPr>
      <w:r>
        <w:rPr>
          <w:rFonts w:hint="eastAsia" w:ascii="仿宋_GB2312" w:hAnsi="仿宋_GB2312" w:eastAsia="仿宋_GB2312" w:cs="仿宋_GB2312"/>
          <w:sz w:val="28"/>
          <w:szCs w:val="28"/>
          <w:highlight w:val="none"/>
        </w:rPr>
        <w:t xml:space="preserve">    36.</w:t>
      </w:r>
      <w:bookmarkStart w:id="44" w:name="_Toc217446068"/>
      <w:r>
        <w:rPr>
          <w:rFonts w:hint="eastAsia" w:ascii="仿宋_GB2312" w:hAnsi="仿宋_GB2312" w:eastAsia="仿宋_GB2312" w:cs="仿宋_GB2312"/>
          <w:b/>
          <w:sz w:val="28"/>
          <w:szCs w:val="28"/>
          <w:highlight w:val="none"/>
        </w:rPr>
        <w:t>履约保证金</w:t>
      </w:r>
      <w:bookmarkEnd w:id="44"/>
      <w:r>
        <w:rPr>
          <w:rFonts w:hint="eastAsia" w:ascii="仿宋_GB2312" w:hAnsi="仿宋_GB2312" w:eastAsia="仿宋_GB2312" w:cs="仿宋_GB2312"/>
          <w:b/>
          <w:sz w:val="28"/>
          <w:szCs w:val="28"/>
          <w:highlight w:val="none"/>
        </w:rPr>
        <w:t>：</w:t>
      </w:r>
      <w:r>
        <w:rPr>
          <w:rFonts w:hint="eastAsia" w:ascii="仿宋_GB2312" w:hAnsi="仿宋_GB2312" w:eastAsia="仿宋_GB2312" w:cs="仿宋_GB2312"/>
          <w:sz w:val="28"/>
          <w:szCs w:val="28"/>
          <w:highlight w:val="none"/>
        </w:rPr>
        <w:t>金额为合同签约价的3%，签合同时一并缴纳给招标单位，半年后转为质量保证金。质保期一年，质保期满后由社区组织验收合格后，无息返还。</w:t>
      </w:r>
    </w:p>
    <w:p>
      <w:pPr>
        <w:pStyle w:val="6"/>
        <w:numPr>
          <w:ilvl w:val="0"/>
          <w:numId w:val="0"/>
        </w:numPr>
        <w:spacing w:line="340" w:lineRule="exact"/>
        <w:jc w:val="center"/>
        <w:rPr>
          <w:rFonts w:ascii="仿宋_GB2312" w:hAnsi="仿宋_GB2312" w:eastAsia="仿宋_GB2312" w:cs="仿宋_GB2312"/>
          <w:sz w:val="28"/>
          <w:szCs w:val="28"/>
          <w:highlight w:val="none"/>
        </w:rPr>
      </w:pPr>
      <w:bookmarkStart w:id="45" w:name="_Toc3946"/>
      <w:bookmarkStart w:id="46" w:name="_Toc449028874"/>
      <w:bookmarkStart w:id="47" w:name="_Toc10715"/>
      <w:r>
        <w:rPr>
          <w:rFonts w:hint="eastAsia" w:ascii="仿宋_GB2312" w:hAnsi="仿宋_GB2312" w:eastAsia="仿宋_GB2312" w:cs="仿宋_GB2312"/>
          <w:sz w:val="28"/>
          <w:szCs w:val="28"/>
          <w:highlight w:val="none"/>
        </w:rPr>
        <w:t>（七）纪律和监督</w:t>
      </w:r>
      <w:bookmarkEnd w:id="45"/>
      <w:bookmarkEnd w:id="46"/>
      <w:bookmarkEnd w:id="47"/>
    </w:p>
    <w:p>
      <w:pPr>
        <w:spacing w:line="340" w:lineRule="exact"/>
        <w:ind w:firstLine="413" w:firstLineChars="147"/>
        <w:jc w:val="left"/>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 xml:space="preserve">37. 对招标人的纪律要求 </w:t>
      </w:r>
    </w:p>
    <w:p>
      <w:pPr>
        <w:adjustRightInd w:val="0"/>
        <w:snapToGrid w:val="0"/>
        <w:spacing w:line="340" w:lineRule="exact"/>
        <w:ind w:firstLine="420" w:firstLineChars="150"/>
        <w:rPr>
          <w:rFonts w:ascii="仿宋_GB2312" w:hAnsi="仿宋_GB2312" w:eastAsia="仿宋_GB2312" w:cs="仿宋_GB2312"/>
          <w:kern w:val="10"/>
          <w:sz w:val="28"/>
          <w:szCs w:val="28"/>
          <w:highlight w:val="none"/>
        </w:rPr>
      </w:pPr>
      <w:r>
        <w:rPr>
          <w:rFonts w:hint="eastAsia" w:ascii="仿宋_GB2312" w:hAnsi="仿宋_GB2312" w:eastAsia="仿宋_GB2312" w:cs="仿宋_GB2312"/>
          <w:kern w:val="10"/>
          <w:sz w:val="28"/>
          <w:szCs w:val="28"/>
          <w:highlight w:val="none"/>
        </w:rPr>
        <w:t xml:space="preserve">37.1招标人不得泄漏招标投标活动中应当保密的情况和资料，不得与投标人串通损害国家利益，社会公共利益或者他人合法权益。 </w:t>
      </w:r>
    </w:p>
    <w:p>
      <w:pPr>
        <w:spacing w:line="340" w:lineRule="exact"/>
        <w:ind w:firstLine="413" w:firstLineChars="147"/>
        <w:jc w:val="left"/>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 xml:space="preserve">38. 对投标人的纪律要求 </w:t>
      </w:r>
    </w:p>
    <w:p>
      <w:pPr>
        <w:adjustRightInd w:val="0"/>
        <w:snapToGrid w:val="0"/>
        <w:spacing w:line="340" w:lineRule="exact"/>
        <w:ind w:firstLine="420" w:firstLineChars="150"/>
        <w:rPr>
          <w:rFonts w:ascii="仿宋_GB2312" w:hAnsi="仿宋_GB2312" w:eastAsia="仿宋_GB2312" w:cs="仿宋_GB2312"/>
          <w:kern w:val="10"/>
          <w:sz w:val="28"/>
          <w:szCs w:val="28"/>
          <w:highlight w:val="none"/>
        </w:rPr>
      </w:pPr>
      <w:r>
        <w:rPr>
          <w:rFonts w:hint="eastAsia" w:ascii="仿宋_GB2312" w:hAnsi="仿宋_GB2312" w:eastAsia="仿宋_GB2312" w:cs="仿宋_GB2312"/>
          <w:kern w:val="10"/>
          <w:sz w:val="28"/>
          <w:szCs w:val="28"/>
          <w:highlight w:val="none"/>
        </w:rPr>
        <w:t>38.1投标人不得相互串通投标或者与招标人串通投标，不得向招标人或者评审小组成员行贿谋取中标，不得以他人名义投标或者以其他方式弄虚作假骗取中标；投标人不得以任何方式干扰、影响评标工作。</w:t>
      </w:r>
    </w:p>
    <w:p>
      <w:pPr>
        <w:spacing w:line="340" w:lineRule="exact"/>
        <w:ind w:firstLine="413" w:firstLineChars="147"/>
        <w:jc w:val="left"/>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 xml:space="preserve">39. 对评审小组成员的纪律要求 </w:t>
      </w:r>
    </w:p>
    <w:p>
      <w:pPr>
        <w:adjustRightInd w:val="0"/>
        <w:snapToGrid w:val="0"/>
        <w:spacing w:line="340" w:lineRule="exact"/>
        <w:ind w:firstLine="420" w:firstLineChars="150"/>
        <w:rPr>
          <w:rFonts w:ascii="仿宋_GB2312" w:hAnsi="仿宋_GB2312" w:eastAsia="仿宋_GB2312" w:cs="仿宋_GB2312"/>
          <w:kern w:val="10"/>
          <w:sz w:val="28"/>
          <w:szCs w:val="28"/>
          <w:highlight w:val="none"/>
        </w:rPr>
      </w:pPr>
      <w:r>
        <w:rPr>
          <w:rFonts w:hint="eastAsia" w:ascii="仿宋_GB2312" w:hAnsi="仿宋_GB2312" w:eastAsia="仿宋_GB2312" w:cs="仿宋_GB2312"/>
          <w:kern w:val="10"/>
          <w:sz w:val="28"/>
          <w:szCs w:val="28"/>
          <w:highlight w:val="none"/>
        </w:rPr>
        <w:t>39.1评审小组成员不得收受他人的财物或者其他好处，不得向他人透漏对投标文件的评审和比较、中标候选人的推荐情况以及评标有关的其他情况。</w:t>
      </w:r>
    </w:p>
    <w:p>
      <w:pPr>
        <w:adjustRightInd w:val="0"/>
        <w:snapToGrid w:val="0"/>
        <w:spacing w:line="340" w:lineRule="exact"/>
        <w:ind w:firstLine="420" w:firstLineChars="150"/>
        <w:rPr>
          <w:rFonts w:ascii="仿宋_GB2312" w:hAnsi="仿宋_GB2312" w:eastAsia="仿宋_GB2312" w:cs="仿宋_GB2312"/>
          <w:kern w:val="10"/>
          <w:sz w:val="28"/>
          <w:szCs w:val="28"/>
          <w:highlight w:val="none"/>
        </w:rPr>
      </w:pPr>
      <w:r>
        <w:rPr>
          <w:rFonts w:hint="eastAsia" w:ascii="仿宋_GB2312" w:hAnsi="仿宋_GB2312" w:eastAsia="仿宋_GB2312" w:cs="仿宋_GB2312"/>
          <w:kern w:val="10"/>
          <w:sz w:val="28"/>
          <w:szCs w:val="28"/>
          <w:highlight w:val="none"/>
        </w:rPr>
        <w:t xml:space="preserve">39.2在评标活动中，评审小组成员不得擅离职守，影响评标程序正常进行，不得使用第三章“评标办法”没有规定的评审因素和标准进行评标。 </w:t>
      </w:r>
    </w:p>
    <w:p>
      <w:pPr>
        <w:spacing w:line="340" w:lineRule="exact"/>
        <w:ind w:firstLine="413" w:firstLineChars="147"/>
        <w:jc w:val="left"/>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 xml:space="preserve">40. 对与评标活动有关的工作人员的纪律要求 </w:t>
      </w:r>
    </w:p>
    <w:p>
      <w:pPr>
        <w:adjustRightInd w:val="0"/>
        <w:snapToGrid w:val="0"/>
        <w:spacing w:line="340" w:lineRule="exact"/>
        <w:ind w:firstLine="420" w:firstLineChars="150"/>
        <w:rPr>
          <w:rFonts w:ascii="仿宋_GB2312" w:hAnsi="仿宋_GB2312" w:eastAsia="仿宋_GB2312" w:cs="仿宋_GB2312"/>
          <w:kern w:val="10"/>
          <w:sz w:val="28"/>
          <w:szCs w:val="28"/>
          <w:highlight w:val="none"/>
        </w:rPr>
      </w:pPr>
      <w:r>
        <w:rPr>
          <w:rFonts w:hint="eastAsia" w:ascii="仿宋_GB2312" w:hAnsi="仿宋_GB2312" w:eastAsia="仿宋_GB2312" w:cs="仿宋_GB2312"/>
          <w:kern w:val="10"/>
          <w:sz w:val="28"/>
          <w:szCs w:val="28"/>
          <w:highlight w:val="none"/>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numPr>
          <w:ilvl w:val="0"/>
          <w:numId w:val="0"/>
        </w:numPr>
        <w:spacing w:line="340" w:lineRule="exact"/>
        <w:jc w:val="center"/>
        <w:rPr>
          <w:rFonts w:ascii="仿宋_GB2312" w:hAnsi="仿宋_GB2312" w:eastAsia="仿宋_GB2312" w:cs="仿宋_GB2312"/>
          <w:sz w:val="28"/>
          <w:szCs w:val="28"/>
          <w:highlight w:val="none"/>
        </w:rPr>
      </w:pPr>
      <w:bookmarkStart w:id="48" w:name="_Toc19192"/>
      <w:bookmarkStart w:id="49" w:name="_Toc449028875"/>
      <w:bookmarkStart w:id="50" w:name="_Toc2133"/>
      <w:r>
        <w:rPr>
          <w:rFonts w:hint="eastAsia" w:ascii="仿宋_GB2312" w:hAnsi="仿宋_GB2312" w:eastAsia="仿宋_GB2312" w:cs="仿宋_GB2312"/>
          <w:sz w:val="28"/>
          <w:szCs w:val="28"/>
          <w:highlight w:val="none"/>
        </w:rPr>
        <w:t>（八）质疑与投诉</w:t>
      </w:r>
      <w:bookmarkEnd w:id="48"/>
      <w:bookmarkEnd w:id="49"/>
      <w:bookmarkEnd w:id="50"/>
    </w:p>
    <w:p>
      <w:pPr>
        <w:spacing w:line="340" w:lineRule="exact"/>
        <w:ind w:firstLine="419" w:firstLineChars="149"/>
        <w:jc w:val="left"/>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41. 询问、质疑</w:t>
      </w:r>
    </w:p>
    <w:p>
      <w:pPr>
        <w:adjustRightInd w:val="0"/>
        <w:snapToGrid w:val="0"/>
        <w:spacing w:line="340" w:lineRule="exact"/>
        <w:ind w:firstLine="420" w:firstLineChars="150"/>
        <w:rPr>
          <w:rFonts w:ascii="仿宋_GB2312" w:hAnsi="仿宋_GB2312" w:eastAsia="仿宋_GB2312" w:cs="仿宋_GB2312"/>
          <w:kern w:val="10"/>
          <w:sz w:val="28"/>
          <w:szCs w:val="28"/>
          <w:highlight w:val="none"/>
        </w:rPr>
      </w:pPr>
      <w:r>
        <w:rPr>
          <w:rFonts w:hint="eastAsia" w:ascii="仿宋_GB2312" w:hAnsi="仿宋_GB2312" w:eastAsia="仿宋_GB2312" w:cs="仿宋_GB2312"/>
          <w:kern w:val="10"/>
          <w:sz w:val="28"/>
          <w:szCs w:val="28"/>
          <w:highlight w:val="none"/>
        </w:rPr>
        <w:t>41.1 投标人对招标活动事项有疑问的，可以向招标人（代理机构）提出询问，招标人（代理机构）将在三个工作日内作出答复，但答复的内容不涉及商业秘密。</w:t>
      </w:r>
    </w:p>
    <w:p>
      <w:pPr>
        <w:adjustRightInd w:val="0"/>
        <w:snapToGrid w:val="0"/>
        <w:spacing w:line="340" w:lineRule="exact"/>
        <w:ind w:firstLine="420" w:firstLineChars="150"/>
        <w:rPr>
          <w:rFonts w:ascii="仿宋_GB2312" w:hAnsi="仿宋_GB2312" w:eastAsia="仿宋_GB2312" w:cs="仿宋_GB2312"/>
          <w:kern w:val="10"/>
          <w:sz w:val="28"/>
          <w:szCs w:val="28"/>
          <w:highlight w:val="none"/>
        </w:rPr>
      </w:pPr>
      <w:r>
        <w:rPr>
          <w:rFonts w:hint="eastAsia" w:ascii="仿宋_GB2312" w:hAnsi="仿宋_GB2312" w:eastAsia="仿宋_GB2312" w:cs="仿宋_GB2312"/>
          <w:kern w:val="10"/>
          <w:sz w:val="28"/>
          <w:szCs w:val="28"/>
          <w:highlight w:val="none"/>
        </w:rPr>
        <w:t>41.2 投标人认为采购文件、采购过程和中标结果使自己的合法权益受到损害的，可以在知道或者应当知道其权益受到损害之日起七个工作日内，以书面形式将质疑文件原件送达招标人。</w:t>
      </w:r>
    </w:p>
    <w:p>
      <w:pPr>
        <w:adjustRightInd w:val="0"/>
        <w:snapToGrid w:val="0"/>
        <w:spacing w:line="340" w:lineRule="exact"/>
        <w:ind w:firstLine="420" w:firstLineChars="150"/>
        <w:rPr>
          <w:rFonts w:ascii="仿宋_GB2312" w:hAnsi="仿宋_GB2312" w:eastAsia="仿宋_GB2312" w:cs="仿宋_GB2312"/>
          <w:kern w:val="10"/>
          <w:sz w:val="28"/>
          <w:szCs w:val="28"/>
          <w:highlight w:val="none"/>
        </w:rPr>
      </w:pPr>
      <w:r>
        <w:rPr>
          <w:rFonts w:hint="eastAsia" w:ascii="仿宋_GB2312" w:hAnsi="仿宋_GB2312" w:eastAsia="仿宋_GB2312" w:cs="仿宋_GB2312"/>
          <w:kern w:val="10"/>
          <w:sz w:val="28"/>
          <w:szCs w:val="28"/>
          <w:highlight w:val="none"/>
        </w:rPr>
        <w:t>41.3中标公告发布后，参与投标的投标人对中标公告有异议的，应该在中标公告发布之日起或公告期限届满之日起七个工作日内向招标人书面提出质疑。但属于第41.1条问题，且未在规定时间提出质疑的，不予受理。</w:t>
      </w:r>
    </w:p>
    <w:p>
      <w:pPr>
        <w:adjustRightInd w:val="0"/>
        <w:snapToGrid w:val="0"/>
        <w:spacing w:line="340" w:lineRule="exact"/>
        <w:ind w:firstLine="420" w:firstLineChars="150"/>
        <w:rPr>
          <w:rFonts w:ascii="仿宋_GB2312" w:hAnsi="仿宋_GB2312" w:eastAsia="仿宋_GB2312" w:cs="仿宋_GB2312"/>
          <w:kern w:val="10"/>
          <w:sz w:val="28"/>
          <w:szCs w:val="28"/>
          <w:highlight w:val="none"/>
        </w:rPr>
      </w:pPr>
      <w:r>
        <w:rPr>
          <w:rFonts w:hint="eastAsia" w:ascii="仿宋_GB2312" w:hAnsi="仿宋_GB2312" w:eastAsia="仿宋_GB2312" w:cs="仿宋_GB2312"/>
          <w:kern w:val="10"/>
          <w:sz w:val="28"/>
          <w:szCs w:val="28"/>
          <w:highlight w:val="none"/>
        </w:rPr>
        <w:t>41.4参与投标的投标人对中标公告提出的书面质疑，负有举证的责任。在质疑函中应清楚地写明所质疑的项目名称、编号、标段号标段名（如果有分标段）、质疑的事项与事实等内容，并附上质疑事项、事实的证明文件。投标人在经其法定代表人签字并盖上投标人公章后，将该质疑函递交至招标人或代理机构。</w:t>
      </w:r>
    </w:p>
    <w:p>
      <w:pPr>
        <w:adjustRightInd w:val="0"/>
        <w:snapToGrid w:val="0"/>
        <w:spacing w:line="340" w:lineRule="exact"/>
        <w:ind w:firstLine="420" w:firstLineChars="150"/>
        <w:rPr>
          <w:rFonts w:ascii="仿宋_GB2312" w:hAnsi="仿宋_GB2312" w:eastAsia="仿宋_GB2312" w:cs="仿宋_GB2312"/>
          <w:kern w:val="10"/>
          <w:sz w:val="28"/>
          <w:szCs w:val="28"/>
          <w:highlight w:val="none"/>
        </w:rPr>
      </w:pPr>
      <w:r>
        <w:rPr>
          <w:rFonts w:hint="eastAsia" w:ascii="仿宋_GB2312" w:hAnsi="仿宋_GB2312" w:eastAsia="仿宋_GB2312" w:cs="仿宋_GB2312"/>
          <w:kern w:val="10"/>
          <w:sz w:val="28"/>
          <w:szCs w:val="28"/>
          <w:highlight w:val="none"/>
        </w:rPr>
        <w:t>41.5招标人或代理机构在收到投标人的质疑函后，将审查质疑函的格式、内容以及所附的证明文件是否符合要求。如不符合，说明原因退回投标人；如符合要求，则接受该质疑函并向投标人出具受理证明。</w:t>
      </w:r>
    </w:p>
    <w:p>
      <w:pPr>
        <w:adjustRightInd w:val="0"/>
        <w:snapToGrid w:val="0"/>
        <w:spacing w:line="340" w:lineRule="exact"/>
        <w:ind w:firstLine="420" w:firstLineChars="150"/>
        <w:rPr>
          <w:rFonts w:ascii="仿宋_GB2312" w:hAnsi="仿宋_GB2312" w:eastAsia="仿宋_GB2312" w:cs="仿宋_GB2312"/>
          <w:kern w:val="10"/>
          <w:sz w:val="28"/>
          <w:szCs w:val="28"/>
          <w:highlight w:val="none"/>
        </w:rPr>
      </w:pPr>
      <w:r>
        <w:rPr>
          <w:rFonts w:hint="eastAsia" w:ascii="仿宋_GB2312" w:hAnsi="仿宋_GB2312" w:eastAsia="仿宋_GB2312" w:cs="仿宋_GB2312"/>
          <w:kern w:val="10"/>
          <w:sz w:val="28"/>
          <w:szCs w:val="28"/>
          <w:highlight w:val="none"/>
        </w:rPr>
        <w:t>41.6处理质疑的时间，从实际接受投标人质疑函、出具受理证明的时间开始计算。</w:t>
      </w:r>
    </w:p>
    <w:p>
      <w:pPr>
        <w:spacing w:line="340" w:lineRule="exact"/>
        <w:ind w:firstLine="419" w:firstLineChars="149"/>
        <w:jc w:val="left"/>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42. 投诉</w:t>
      </w:r>
    </w:p>
    <w:p>
      <w:pPr>
        <w:spacing w:line="340" w:lineRule="exact"/>
        <w:ind w:firstLine="420" w:firstLineChars="150"/>
        <w:jc w:val="left"/>
        <w:rPr>
          <w:rFonts w:ascii="仿宋_GB2312" w:hAnsi="仿宋_GB2312" w:eastAsia="仿宋_GB2312" w:cs="仿宋_GB2312"/>
          <w:kern w:val="10"/>
          <w:sz w:val="28"/>
          <w:szCs w:val="28"/>
          <w:highlight w:val="none"/>
        </w:rPr>
      </w:pPr>
      <w:r>
        <w:rPr>
          <w:rFonts w:hint="eastAsia" w:ascii="仿宋_GB2312" w:hAnsi="仿宋_GB2312" w:eastAsia="仿宋_GB2312" w:cs="仿宋_GB2312"/>
          <w:sz w:val="28"/>
          <w:szCs w:val="28"/>
          <w:highlight w:val="none"/>
        </w:rPr>
        <w:t>42.1</w:t>
      </w:r>
      <w:r>
        <w:rPr>
          <w:rFonts w:hint="eastAsia" w:ascii="仿宋_GB2312" w:hAnsi="仿宋_GB2312" w:eastAsia="仿宋_GB2312" w:cs="仿宋_GB2312"/>
          <w:kern w:val="10"/>
          <w:sz w:val="28"/>
          <w:szCs w:val="28"/>
          <w:highlight w:val="none"/>
        </w:rPr>
        <w:t>投标人对招标人的答复不满意，或者招标人未在规定的时间内答复的，可以在答复期满后十五个工作日内按有关规定，向相关监管部门进行投诉。</w:t>
      </w:r>
    </w:p>
    <w:p>
      <w:pPr>
        <w:pStyle w:val="5"/>
        <w:pageBreakBefore/>
        <w:numPr>
          <w:ilvl w:val="0"/>
          <w:numId w:val="8"/>
        </w:numPr>
        <w:spacing w:beforeLines="50" w:afterLines="50" w:line="440" w:lineRule="exact"/>
        <w:ind w:firstLine="562"/>
        <w:jc w:val="center"/>
        <w:rPr>
          <w:rFonts w:ascii="仿宋_GB2312" w:hAnsi="仿宋_GB2312" w:eastAsia="仿宋_GB2312" w:cs="仿宋_GB2312"/>
          <w:sz w:val="28"/>
          <w:szCs w:val="28"/>
          <w:highlight w:val="none"/>
        </w:rPr>
      </w:pPr>
      <w:bookmarkStart w:id="51" w:name="_Toc30463"/>
      <w:bookmarkStart w:id="52" w:name="_Toc15058912"/>
      <w:bookmarkStart w:id="53" w:name="_Toc5781"/>
      <w:bookmarkStart w:id="54" w:name="_Toc449028945"/>
      <w:bookmarkStart w:id="55" w:name="_Toc11666"/>
      <w:bookmarkStart w:id="56" w:name="_Toc363135205"/>
      <w:r>
        <w:rPr>
          <w:rFonts w:hint="eastAsia" w:ascii="仿宋_GB2312" w:hAnsi="仿宋_GB2312" w:eastAsia="仿宋_GB2312" w:cs="仿宋_GB2312"/>
          <w:sz w:val="28"/>
          <w:szCs w:val="28"/>
          <w:highlight w:val="none"/>
        </w:rPr>
        <w:t>评标办法</w:t>
      </w:r>
      <w:bookmarkEnd w:id="51"/>
      <w:bookmarkEnd w:id="52"/>
    </w:p>
    <w:p>
      <w:pPr>
        <w:pStyle w:val="6"/>
        <w:numPr>
          <w:ilvl w:val="1"/>
          <w:numId w:val="0"/>
        </w:numPr>
        <w:spacing w:beforeLines="50" w:afterLines="50" w:line="440" w:lineRule="exact"/>
        <w:ind w:left="420" w:leftChars="200"/>
        <w:jc w:val="left"/>
        <w:rPr>
          <w:rFonts w:ascii="仿宋_GB2312" w:hAnsi="仿宋_GB2312" w:eastAsia="仿宋_GB2312" w:cs="仿宋_GB2312"/>
          <w:color w:val="333333"/>
          <w:sz w:val="28"/>
          <w:szCs w:val="28"/>
          <w:highlight w:val="none"/>
        </w:rPr>
      </w:pPr>
      <w:bookmarkStart w:id="57" w:name="_Toc506107324"/>
      <w:bookmarkStart w:id="58" w:name="_Toc15058913"/>
      <w:bookmarkStart w:id="59" w:name="_Toc246996975"/>
      <w:bookmarkStart w:id="60" w:name="_Toc37230754"/>
      <w:bookmarkStart w:id="61" w:name="_Toc152042366"/>
      <w:bookmarkStart w:id="62" w:name="_Toc152045589"/>
      <w:bookmarkStart w:id="63" w:name="_Toc10072"/>
      <w:bookmarkStart w:id="64" w:name="_Toc246996232"/>
      <w:bookmarkStart w:id="65" w:name="_Toc324404872"/>
      <w:bookmarkStart w:id="66" w:name="_Toc144974556"/>
      <w:bookmarkStart w:id="67" w:name="_Toc247085747"/>
      <w:bookmarkStart w:id="68" w:name="_Toc179632607"/>
      <w:bookmarkStart w:id="69" w:name="_Toc37230755"/>
      <w:bookmarkStart w:id="70" w:name="_Toc324404873"/>
      <w:bookmarkStart w:id="71" w:name="_Toc506107325"/>
      <w:bookmarkStart w:id="72" w:name="_Toc15058914"/>
      <w:bookmarkStart w:id="73" w:name="_Toc152042367"/>
      <w:bookmarkStart w:id="74" w:name="_Toc144974557"/>
      <w:bookmarkStart w:id="75" w:name="_Toc247085748"/>
      <w:bookmarkStart w:id="76" w:name="_Toc152045590"/>
      <w:bookmarkStart w:id="77" w:name="_Toc246996976"/>
      <w:bookmarkStart w:id="78" w:name="_Toc246996233"/>
      <w:bookmarkStart w:id="79" w:name="_Toc179632608"/>
      <w:bookmarkStart w:id="80" w:name="_Toc296602478"/>
      <w:r>
        <w:rPr>
          <w:rFonts w:hint="eastAsia" w:ascii="仿宋_GB2312" w:hAnsi="仿宋_GB2312" w:eastAsia="仿宋_GB2312" w:cs="仿宋_GB2312"/>
          <w:sz w:val="28"/>
          <w:szCs w:val="28"/>
          <w:highlight w:val="none"/>
        </w:rPr>
        <w:t>1. 评标方法</w:t>
      </w:r>
      <w:bookmarkEnd w:id="57"/>
      <w:bookmarkEnd w:id="58"/>
      <w:bookmarkEnd w:id="59"/>
      <w:bookmarkEnd w:id="60"/>
      <w:bookmarkEnd w:id="61"/>
      <w:bookmarkEnd w:id="62"/>
      <w:bookmarkEnd w:id="63"/>
      <w:bookmarkEnd w:id="64"/>
      <w:bookmarkEnd w:id="65"/>
      <w:bookmarkEnd w:id="66"/>
      <w:bookmarkEnd w:id="67"/>
      <w:bookmarkEnd w:id="68"/>
    </w:p>
    <w:p>
      <w:pPr>
        <w:spacing w:line="340" w:lineRule="exact"/>
        <w:ind w:right="-334" w:rightChars="-159" w:firstLine="560" w:firstLineChars="200"/>
        <w:rPr>
          <w:rFonts w:ascii="仿宋_GB2312" w:hAnsi="仿宋_GB2312" w:eastAsia="仿宋_GB2312" w:cs="仿宋_GB2312"/>
          <w:b/>
          <w:kern w:val="0"/>
          <w:sz w:val="28"/>
          <w:szCs w:val="28"/>
          <w:highlight w:val="none"/>
        </w:rPr>
      </w:pPr>
      <w:r>
        <w:rPr>
          <w:rFonts w:hint="eastAsia" w:ascii="仿宋_GB2312" w:hAnsi="仿宋_GB2312" w:eastAsia="仿宋_GB2312" w:cs="仿宋_GB2312"/>
          <w:sz w:val="28"/>
          <w:szCs w:val="28"/>
          <w:highlight w:val="none"/>
        </w:rPr>
        <w:t>1.1、</w:t>
      </w:r>
      <w:r>
        <w:rPr>
          <w:rFonts w:hint="eastAsia" w:ascii="仿宋_GB2312" w:hAnsi="仿宋_GB2312" w:eastAsia="仿宋_GB2312" w:cs="仿宋_GB2312"/>
          <w:b/>
          <w:bCs/>
          <w:sz w:val="28"/>
          <w:szCs w:val="28"/>
          <w:highlight w:val="none"/>
        </w:rPr>
        <w:t>招标人现场采用随机抽取的方式确定3名预中标候选人，并按照抽取的顺序依次排名。评审小组对预中标候选人的投标文件进行评审，按抽取排名顺序推荐中标候选人，如第一名预中标候选人评审不合格，则推荐第二名为第一中标候选人。若3名预中标候选人评审均不合格，将按上述办法重新抽取确定3名预中标候选人。</w:t>
      </w:r>
    </w:p>
    <w:p>
      <w:pPr>
        <w:widowControl/>
        <w:spacing w:line="440" w:lineRule="exact"/>
        <w:ind w:firstLine="562" w:firstLineChars="200"/>
        <w:jc w:val="left"/>
        <w:rPr>
          <w:rFonts w:ascii="仿宋_GB2312" w:hAnsi="仿宋_GB2312" w:eastAsia="仿宋_GB2312" w:cs="仿宋_GB2312"/>
          <w:b/>
          <w:kern w:val="0"/>
          <w:sz w:val="28"/>
          <w:szCs w:val="28"/>
          <w:highlight w:val="none"/>
        </w:rPr>
      </w:pPr>
      <w:r>
        <w:rPr>
          <w:rFonts w:hint="eastAsia" w:ascii="仿宋_GB2312" w:hAnsi="仿宋_GB2312" w:eastAsia="仿宋_GB2312" w:cs="仿宋_GB2312"/>
          <w:b/>
          <w:kern w:val="0"/>
          <w:sz w:val="28"/>
          <w:szCs w:val="28"/>
          <w:highlight w:val="none"/>
        </w:rPr>
        <w:t>注：预中标候选人资格审查、投标文件评审期间，未抽中投标人在评审结束前不得离开开标现场，否则视为认可评审结果。如预中标候选人资格审查不合格进行补抽时，离场的投标人视为认可补抽结果。</w:t>
      </w:r>
    </w:p>
    <w:p>
      <w:pPr>
        <w:pStyle w:val="6"/>
        <w:numPr>
          <w:ilvl w:val="1"/>
          <w:numId w:val="0"/>
        </w:numPr>
        <w:spacing w:line="440" w:lineRule="exact"/>
        <w:ind w:left="420" w:leftChars="200"/>
        <w:rPr>
          <w:rFonts w:ascii="仿宋_GB2312" w:hAnsi="仿宋_GB2312" w:eastAsia="仿宋_GB2312" w:cs="仿宋_GB2312"/>
          <w:kern w:val="2"/>
          <w:sz w:val="28"/>
          <w:szCs w:val="28"/>
          <w:highlight w:val="none"/>
        </w:rPr>
      </w:pPr>
      <w:r>
        <w:rPr>
          <w:rFonts w:hint="eastAsia" w:ascii="仿宋_GB2312" w:hAnsi="仿宋_GB2312" w:eastAsia="仿宋_GB2312" w:cs="仿宋_GB2312"/>
          <w:sz w:val="28"/>
          <w:szCs w:val="28"/>
          <w:highlight w:val="none"/>
        </w:rPr>
        <w:t>1.2、</w:t>
      </w:r>
      <w:r>
        <w:rPr>
          <w:rFonts w:hint="eastAsia" w:ascii="仿宋_GB2312" w:hAnsi="仿宋_GB2312" w:eastAsia="仿宋_GB2312" w:cs="仿宋_GB2312"/>
          <w:kern w:val="2"/>
          <w:sz w:val="28"/>
          <w:szCs w:val="28"/>
          <w:highlight w:val="none"/>
        </w:rPr>
        <w:t>评审小组对满足选取文件实质性要求的响应文件，按照本章规定推荐中标候选人应当不超过3名，并标明排序（本项目推荐 3 名中标候选人），但响应报价低于其成本的除外。</w:t>
      </w:r>
      <w:bookmarkStart w:id="81" w:name="_Toc30798"/>
    </w:p>
    <w:p>
      <w:pPr>
        <w:pStyle w:val="6"/>
        <w:numPr>
          <w:ilvl w:val="1"/>
          <w:numId w:val="0"/>
        </w:numPr>
        <w:spacing w:line="440" w:lineRule="exact"/>
        <w:ind w:left="420" w:left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2.评审委员会的职责</w:t>
      </w:r>
      <w:bookmarkEnd w:id="81"/>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评审小组应当根据本评标办法，应进行系统地评审和比较，向项目单位推荐中标候选人或根据项目单位的授权直接确定中标人。各评委必须独立评审，提出评审意见，不受任何单位或者个人的干预。各评委对其各自评审结果负责，并在评审报告上签字确认。对评审结论持有异议的评审委员会成员可以书面方式阐述其不同意见和理由。评审委员会成员拒绝在评标报告上签字且不陈述其不同意见和理由的，视为同意评审结论。评审委员会应当对此作出书面说明并记录在案。</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评审小组应加强对报价合理性审查。评标评审委员会认为投标人的报价明显低于其他通过符合性审查投标人的报价，有可能影响项目质量或者不能诚信履约的，应当要求其在评审现场合理的时间内提供书面说明，必要时提交相关证明材料；投标人不能证明其报价合理性的，评审小组应当将其作为无效响应处理。</w:t>
      </w:r>
    </w:p>
    <w:bookmarkEnd w:id="69"/>
    <w:bookmarkEnd w:id="70"/>
    <w:bookmarkEnd w:id="71"/>
    <w:bookmarkEnd w:id="72"/>
    <w:p>
      <w:pPr>
        <w:pStyle w:val="6"/>
        <w:numPr>
          <w:ilvl w:val="1"/>
          <w:numId w:val="0"/>
        </w:numPr>
        <w:spacing w:line="440" w:lineRule="exact"/>
        <w:ind w:left="420" w:leftChars="200"/>
        <w:rPr>
          <w:rFonts w:ascii="仿宋_GB2312" w:hAnsi="仿宋_GB2312" w:eastAsia="仿宋_GB2312" w:cs="仿宋_GB2312"/>
          <w:sz w:val="28"/>
          <w:szCs w:val="28"/>
          <w:highlight w:val="none"/>
        </w:rPr>
      </w:pPr>
      <w:bookmarkStart w:id="82" w:name="_Toc506107326"/>
      <w:bookmarkStart w:id="83" w:name="_Toc324404874"/>
      <w:bookmarkStart w:id="84" w:name="_Toc15058915"/>
      <w:bookmarkStart w:id="85" w:name="_Toc37230756"/>
      <w:bookmarkStart w:id="86" w:name="_Toc14424"/>
      <w:r>
        <w:rPr>
          <w:rFonts w:hint="eastAsia" w:ascii="仿宋_GB2312" w:hAnsi="仿宋_GB2312" w:eastAsia="仿宋_GB2312" w:cs="仿宋_GB2312"/>
          <w:sz w:val="28"/>
          <w:szCs w:val="28"/>
          <w:highlight w:val="none"/>
        </w:rPr>
        <w:t>3.评审程序</w:t>
      </w:r>
      <w:bookmarkEnd w:id="82"/>
      <w:bookmarkEnd w:id="83"/>
      <w:bookmarkEnd w:id="84"/>
      <w:bookmarkEnd w:id="85"/>
      <w:bookmarkEnd w:id="86"/>
    </w:p>
    <w:p>
      <w:pPr>
        <w:pStyle w:val="6"/>
        <w:numPr>
          <w:ilvl w:val="1"/>
          <w:numId w:val="0"/>
        </w:numPr>
        <w:spacing w:line="440" w:lineRule="exact"/>
        <w:ind w:left="412" w:leftChars="196"/>
        <w:rPr>
          <w:rFonts w:ascii="仿宋_GB2312" w:hAnsi="仿宋_GB2312" w:eastAsia="仿宋_GB2312" w:cs="仿宋_GB2312"/>
          <w:sz w:val="28"/>
          <w:szCs w:val="28"/>
          <w:highlight w:val="none"/>
        </w:rPr>
      </w:pPr>
      <w:bookmarkStart w:id="87" w:name="_Toc5287"/>
      <w:bookmarkStart w:id="88" w:name="_Toc15058916"/>
      <w:bookmarkStart w:id="89" w:name="_Toc37230757"/>
      <w:r>
        <w:rPr>
          <w:rFonts w:hint="eastAsia" w:ascii="仿宋_GB2312" w:hAnsi="仿宋_GB2312" w:eastAsia="仿宋_GB2312" w:cs="仿宋_GB2312"/>
          <w:sz w:val="28"/>
          <w:szCs w:val="28"/>
          <w:highlight w:val="none"/>
        </w:rPr>
        <w:t>3.1评审准备工作</w:t>
      </w:r>
      <w:bookmarkEnd w:id="87"/>
      <w:bookmarkEnd w:id="88"/>
      <w:bookmarkEnd w:id="89"/>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评审小组熟悉评审工作情况：</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（1）阅读由项目单位或者其委托的工程代理机构编制的招标项目情况材料。</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（2）阅读、研究选取文件和相关评标资料，获取评标所需要的重要信息和数据，至少应了解和熟悉以下内容：招标项目的范围和性质，选取文件规定的主要技术要求、标准和商务条款。</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（3）熟悉选取文件规定的评审标准和评标方法及在评审过程中需要考虑的相关因素。</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（4）核对评审工作用表。</w:t>
      </w:r>
    </w:p>
    <w:p>
      <w:pPr>
        <w:spacing w:line="440" w:lineRule="exact"/>
        <w:ind w:firstLine="560" w:firstLineChars="200"/>
        <w:rPr>
          <w:rFonts w:ascii="仿宋_GB2312" w:hAnsi="仿宋_GB2312" w:eastAsia="仿宋_GB2312" w:cs="仿宋_GB2312"/>
          <w:sz w:val="28"/>
          <w:szCs w:val="28"/>
          <w:highlight w:val="none"/>
        </w:rPr>
      </w:pPr>
      <w:bookmarkStart w:id="90" w:name="_Toc15058917"/>
      <w:bookmarkStart w:id="91" w:name="_Toc37230758"/>
      <w:r>
        <w:rPr>
          <w:rFonts w:hint="eastAsia" w:ascii="仿宋_GB2312" w:hAnsi="仿宋_GB2312" w:eastAsia="仿宋_GB2312" w:cs="仿宋_GB2312"/>
          <w:sz w:val="28"/>
          <w:szCs w:val="28"/>
          <w:highlight w:val="none"/>
        </w:rPr>
        <w:t>3.2</w:t>
      </w:r>
      <w:bookmarkEnd w:id="90"/>
      <w:bookmarkEnd w:id="91"/>
      <w:r>
        <w:rPr>
          <w:rFonts w:hint="eastAsia" w:ascii="仿宋_GB2312" w:hAnsi="仿宋_GB2312" w:eastAsia="仿宋_GB2312" w:cs="仿宋_GB2312"/>
          <w:b/>
          <w:bCs/>
          <w:sz w:val="28"/>
          <w:szCs w:val="28"/>
          <w:highlight w:val="none"/>
        </w:rPr>
        <w:t>推荐中标候选人：</w:t>
      </w:r>
      <w:r>
        <w:rPr>
          <w:rFonts w:hint="eastAsia" w:ascii="仿宋_GB2312" w:hAnsi="仿宋_GB2312" w:eastAsia="仿宋_GB2312" w:cs="仿宋_GB2312"/>
          <w:sz w:val="28"/>
          <w:szCs w:val="28"/>
          <w:highlight w:val="none"/>
        </w:rPr>
        <w:t>资信评审、商务标评审后，推荐</w:t>
      </w:r>
      <w:r>
        <w:rPr>
          <w:rFonts w:hint="eastAsia" w:ascii="仿宋_GB2312" w:hAnsi="仿宋_GB2312" w:eastAsia="仿宋_GB2312" w:cs="仿宋_GB2312"/>
          <w:sz w:val="28"/>
          <w:szCs w:val="28"/>
          <w:highlight w:val="none"/>
          <w:u w:val="single"/>
        </w:rPr>
        <w:t>3</w:t>
      </w:r>
      <w:r>
        <w:rPr>
          <w:rFonts w:hint="eastAsia" w:ascii="仿宋_GB2312" w:hAnsi="仿宋_GB2312" w:eastAsia="仿宋_GB2312" w:cs="仿宋_GB2312"/>
          <w:sz w:val="28"/>
          <w:szCs w:val="28"/>
          <w:highlight w:val="none"/>
        </w:rPr>
        <w:t>名中标候选人，并标明排序。</w:t>
      </w:r>
    </w:p>
    <w:p>
      <w:pPr>
        <w:pStyle w:val="6"/>
        <w:numPr>
          <w:ilvl w:val="1"/>
          <w:numId w:val="0"/>
        </w:numPr>
        <w:spacing w:line="240" w:lineRule="auto"/>
        <w:ind w:firstLine="560" w:firstLineChars="200"/>
        <w:rPr>
          <w:rFonts w:ascii="仿宋_GB2312" w:hAnsi="仿宋_GB2312" w:eastAsia="仿宋_GB2312" w:cs="仿宋_GB2312"/>
          <w:sz w:val="28"/>
          <w:szCs w:val="28"/>
          <w:highlight w:val="none"/>
        </w:rPr>
      </w:pPr>
      <w:bookmarkStart w:id="92" w:name="_Toc37230760"/>
      <w:bookmarkStart w:id="93" w:name="_Toc19170"/>
      <w:bookmarkStart w:id="94" w:name="_Toc506107327"/>
      <w:bookmarkStart w:id="95" w:name="_Toc324404875"/>
      <w:bookmarkStart w:id="96" w:name="_Toc15058919"/>
      <w:r>
        <w:rPr>
          <w:rFonts w:hint="eastAsia" w:ascii="仿宋_GB2312" w:hAnsi="仿宋_GB2312" w:eastAsia="仿宋_GB2312" w:cs="仿宋_GB2312"/>
          <w:sz w:val="28"/>
          <w:szCs w:val="28"/>
          <w:highlight w:val="none"/>
        </w:rPr>
        <w:t>4.评审内容</w:t>
      </w:r>
      <w:bookmarkEnd w:id="92"/>
      <w:bookmarkEnd w:id="93"/>
      <w:bookmarkEnd w:id="94"/>
      <w:bookmarkEnd w:id="95"/>
      <w:bookmarkEnd w:id="96"/>
    </w:p>
    <w:p>
      <w:pPr>
        <w:ind w:firstLine="560" w:firstLineChars="200"/>
        <w:rPr>
          <w:rFonts w:ascii="仿宋_GB2312" w:hAnsi="仿宋_GB2312" w:eastAsia="仿宋_GB2312" w:cs="仿宋_GB2312"/>
          <w:sz w:val="28"/>
          <w:szCs w:val="28"/>
          <w:highlight w:val="none"/>
        </w:rPr>
      </w:pPr>
      <w:bookmarkStart w:id="97" w:name="_Toc15058920"/>
      <w:bookmarkStart w:id="98" w:name="_Toc37230761"/>
      <w:r>
        <w:rPr>
          <w:rFonts w:hint="eastAsia" w:ascii="仿宋_GB2312" w:hAnsi="仿宋_GB2312" w:eastAsia="仿宋_GB2312" w:cs="仿宋_GB2312"/>
          <w:sz w:val="28"/>
          <w:szCs w:val="28"/>
          <w:highlight w:val="none"/>
        </w:rPr>
        <w:t>4.1</w:t>
      </w:r>
      <w:bookmarkEnd w:id="97"/>
      <w:bookmarkEnd w:id="98"/>
      <w:bookmarkStart w:id="99" w:name="_Toc15058921"/>
      <w:bookmarkStart w:id="100" w:name="_Toc37230762"/>
      <w:bookmarkStart w:id="101" w:name="_Toc324404876"/>
      <w:r>
        <w:rPr>
          <w:rFonts w:hint="eastAsia" w:ascii="仿宋_GB2312" w:hAnsi="仿宋_GB2312" w:eastAsia="仿宋_GB2312" w:cs="仿宋_GB2312"/>
          <w:sz w:val="28"/>
          <w:szCs w:val="28"/>
          <w:highlight w:val="none"/>
        </w:rPr>
        <w:t>商务文件评审</w:t>
      </w:r>
      <w:bookmarkEnd w:id="99"/>
      <w:bookmarkEnd w:id="100"/>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只有通过资信评审的投标人才能够进入本阶段评审。</w:t>
      </w:r>
    </w:p>
    <w:tbl>
      <w:tblPr>
        <w:tblStyle w:val="33"/>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774"/>
        <w:gridCol w:w="2966"/>
        <w:gridCol w:w="5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7" w:type="dxa"/>
            <w:gridSpan w:val="2"/>
            <w:noWrap/>
            <w:vAlign w:val="center"/>
          </w:tcPr>
          <w:p>
            <w:pPr>
              <w:spacing w:line="40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条款号</w:t>
            </w:r>
          </w:p>
        </w:tc>
        <w:tc>
          <w:tcPr>
            <w:tcW w:w="2966" w:type="dxa"/>
            <w:noWrap/>
            <w:vAlign w:val="center"/>
          </w:tcPr>
          <w:p>
            <w:pPr>
              <w:spacing w:line="40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评审因素</w:t>
            </w:r>
          </w:p>
        </w:tc>
        <w:tc>
          <w:tcPr>
            <w:tcW w:w="5346" w:type="dxa"/>
            <w:noWrap/>
            <w:vAlign w:val="center"/>
          </w:tcPr>
          <w:p>
            <w:pPr>
              <w:spacing w:line="40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3" w:type="dxa"/>
            <w:vMerge w:val="restart"/>
            <w:noWrap/>
            <w:vAlign w:val="center"/>
          </w:tcPr>
          <w:p>
            <w:pPr>
              <w:spacing w:line="40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4.2.1</w:t>
            </w:r>
          </w:p>
        </w:tc>
        <w:tc>
          <w:tcPr>
            <w:tcW w:w="774" w:type="dxa"/>
            <w:vMerge w:val="restart"/>
            <w:noWrap/>
            <w:vAlign w:val="center"/>
          </w:tcPr>
          <w:p>
            <w:pPr>
              <w:spacing w:line="40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形式评审标准</w:t>
            </w:r>
          </w:p>
        </w:tc>
        <w:tc>
          <w:tcPr>
            <w:tcW w:w="2966" w:type="dxa"/>
            <w:noWrap/>
            <w:vAlign w:val="center"/>
          </w:tcPr>
          <w:p>
            <w:pPr>
              <w:spacing w:line="4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响应函签字盖章</w:t>
            </w:r>
          </w:p>
        </w:tc>
        <w:tc>
          <w:tcPr>
            <w:tcW w:w="5346" w:type="dxa"/>
            <w:noWrap/>
            <w:vAlign w:val="center"/>
          </w:tcPr>
          <w:p>
            <w:pPr>
              <w:spacing w:line="40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投标人及其法定代表人（或委托代理人）签字（或盖章）。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3" w:type="dxa"/>
            <w:vMerge w:val="continue"/>
            <w:noWrap/>
            <w:vAlign w:val="center"/>
          </w:tcPr>
          <w:p>
            <w:pPr>
              <w:widowControl/>
              <w:spacing w:line="400" w:lineRule="exact"/>
              <w:jc w:val="left"/>
              <w:rPr>
                <w:rFonts w:ascii="仿宋_GB2312" w:hAnsi="仿宋_GB2312" w:eastAsia="仿宋_GB2312" w:cs="仿宋_GB2312"/>
                <w:sz w:val="28"/>
                <w:szCs w:val="28"/>
                <w:highlight w:val="none"/>
              </w:rPr>
            </w:pPr>
          </w:p>
        </w:tc>
        <w:tc>
          <w:tcPr>
            <w:tcW w:w="774" w:type="dxa"/>
            <w:vMerge w:val="continue"/>
            <w:noWrap/>
            <w:vAlign w:val="center"/>
          </w:tcPr>
          <w:p>
            <w:pPr>
              <w:widowControl/>
              <w:spacing w:line="400" w:lineRule="exact"/>
              <w:jc w:val="left"/>
              <w:rPr>
                <w:rFonts w:ascii="仿宋_GB2312" w:hAnsi="仿宋_GB2312" w:eastAsia="仿宋_GB2312" w:cs="仿宋_GB2312"/>
                <w:sz w:val="28"/>
                <w:szCs w:val="28"/>
                <w:highlight w:val="none"/>
              </w:rPr>
            </w:pPr>
          </w:p>
        </w:tc>
        <w:tc>
          <w:tcPr>
            <w:tcW w:w="2966" w:type="dxa"/>
            <w:noWrap/>
            <w:vAlign w:val="center"/>
          </w:tcPr>
          <w:p>
            <w:pPr>
              <w:spacing w:line="4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响应文件格式</w:t>
            </w:r>
          </w:p>
        </w:tc>
        <w:tc>
          <w:tcPr>
            <w:tcW w:w="5346" w:type="dxa"/>
            <w:noWrap/>
            <w:vAlign w:val="center"/>
          </w:tcPr>
          <w:p>
            <w:pPr>
              <w:spacing w:line="40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符合第六章“投标文件格式”的要求。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3" w:type="dxa"/>
            <w:vMerge w:val="continue"/>
            <w:noWrap/>
            <w:vAlign w:val="center"/>
          </w:tcPr>
          <w:p>
            <w:pPr>
              <w:widowControl/>
              <w:spacing w:line="400" w:lineRule="exact"/>
              <w:jc w:val="left"/>
              <w:rPr>
                <w:rFonts w:ascii="仿宋_GB2312" w:hAnsi="仿宋_GB2312" w:eastAsia="仿宋_GB2312" w:cs="仿宋_GB2312"/>
                <w:sz w:val="28"/>
                <w:szCs w:val="28"/>
                <w:highlight w:val="none"/>
              </w:rPr>
            </w:pPr>
          </w:p>
        </w:tc>
        <w:tc>
          <w:tcPr>
            <w:tcW w:w="774" w:type="dxa"/>
            <w:vMerge w:val="continue"/>
            <w:noWrap/>
            <w:vAlign w:val="center"/>
          </w:tcPr>
          <w:p>
            <w:pPr>
              <w:widowControl/>
              <w:spacing w:line="400" w:lineRule="exact"/>
              <w:jc w:val="left"/>
              <w:rPr>
                <w:rFonts w:ascii="仿宋_GB2312" w:hAnsi="仿宋_GB2312" w:eastAsia="仿宋_GB2312" w:cs="仿宋_GB2312"/>
                <w:sz w:val="28"/>
                <w:szCs w:val="28"/>
                <w:highlight w:val="none"/>
              </w:rPr>
            </w:pPr>
          </w:p>
        </w:tc>
        <w:tc>
          <w:tcPr>
            <w:tcW w:w="2966" w:type="dxa"/>
            <w:noWrap/>
            <w:vAlign w:val="center"/>
          </w:tcPr>
          <w:p>
            <w:pPr>
              <w:spacing w:line="4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商务文件签字盖章</w:t>
            </w:r>
          </w:p>
        </w:tc>
        <w:tc>
          <w:tcPr>
            <w:tcW w:w="5346" w:type="dxa"/>
            <w:noWrap/>
            <w:vAlign w:val="center"/>
          </w:tcPr>
          <w:p>
            <w:pPr>
              <w:spacing w:line="40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按响应文件格式要求签章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3" w:type="dxa"/>
            <w:vMerge w:val="continue"/>
            <w:noWrap/>
            <w:vAlign w:val="center"/>
          </w:tcPr>
          <w:p>
            <w:pPr>
              <w:widowControl/>
              <w:spacing w:line="400" w:lineRule="exact"/>
              <w:jc w:val="left"/>
              <w:rPr>
                <w:rFonts w:ascii="仿宋_GB2312" w:hAnsi="仿宋_GB2312" w:eastAsia="仿宋_GB2312" w:cs="仿宋_GB2312"/>
                <w:sz w:val="28"/>
                <w:szCs w:val="28"/>
                <w:highlight w:val="none"/>
              </w:rPr>
            </w:pPr>
          </w:p>
        </w:tc>
        <w:tc>
          <w:tcPr>
            <w:tcW w:w="774" w:type="dxa"/>
            <w:vMerge w:val="continue"/>
            <w:noWrap/>
            <w:vAlign w:val="center"/>
          </w:tcPr>
          <w:p>
            <w:pPr>
              <w:widowControl/>
              <w:spacing w:line="400" w:lineRule="exact"/>
              <w:jc w:val="left"/>
              <w:rPr>
                <w:rFonts w:ascii="仿宋_GB2312" w:hAnsi="仿宋_GB2312" w:eastAsia="仿宋_GB2312" w:cs="仿宋_GB2312"/>
                <w:sz w:val="28"/>
                <w:szCs w:val="28"/>
                <w:highlight w:val="none"/>
              </w:rPr>
            </w:pPr>
          </w:p>
        </w:tc>
        <w:tc>
          <w:tcPr>
            <w:tcW w:w="2966" w:type="dxa"/>
            <w:noWrap/>
            <w:vAlign w:val="center"/>
          </w:tcPr>
          <w:p>
            <w:pPr>
              <w:spacing w:line="4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报价唯一</w:t>
            </w:r>
          </w:p>
        </w:tc>
        <w:tc>
          <w:tcPr>
            <w:tcW w:w="5346" w:type="dxa"/>
            <w:noWrap/>
            <w:vAlign w:val="center"/>
          </w:tcPr>
          <w:p>
            <w:pPr>
              <w:spacing w:line="40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只能有一个报价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3" w:type="dxa"/>
            <w:vMerge w:val="restart"/>
            <w:noWrap/>
            <w:vAlign w:val="center"/>
          </w:tcPr>
          <w:p>
            <w:pPr>
              <w:spacing w:line="40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4.2.2</w:t>
            </w:r>
          </w:p>
        </w:tc>
        <w:tc>
          <w:tcPr>
            <w:tcW w:w="774" w:type="dxa"/>
            <w:vMerge w:val="restart"/>
            <w:noWrap/>
            <w:vAlign w:val="center"/>
          </w:tcPr>
          <w:p>
            <w:pPr>
              <w:spacing w:line="4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响应性评审标准</w:t>
            </w:r>
          </w:p>
        </w:tc>
        <w:tc>
          <w:tcPr>
            <w:tcW w:w="2966" w:type="dxa"/>
            <w:noWrap/>
            <w:vAlign w:val="center"/>
          </w:tcPr>
          <w:p>
            <w:pPr>
              <w:spacing w:line="40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工期</w:t>
            </w:r>
          </w:p>
        </w:tc>
        <w:tc>
          <w:tcPr>
            <w:tcW w:w="5346" w:type="dxa"/>
            <w:noWrap/>
            <w:vAlign w:val="center"/>
          </w:tcPr>
          <w:p>
            <w:pPr>
              <w:spacing w:line="4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符合投标人须知前附表规定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3" w:type="dxa"/>
            <w:vMerge w:val="continue"/>
            <w:noWrap/>
            <w:vAlign w:val="center"/>
          </w:tcPr>
          <w:p>
            <w:pPr>
              <w:widowControl/>
              <w:spacing w:line="400" w:lineRule="exact"/>
              <w:jc w:val="left"/>
              <w:rPr>
                <w:rFonts w:ascii="仿宋_GB2312" w:hAnsi="仿宋_GB2312" w:eastAsia="仿宋_GB2312" w:cs="仿宋_GB2312"/>
                <w:sz w:val="28"/>
                <w:szCs w:val="28"/>
                <w:highlight w:val="none"/>
              </w:rPr>
            </w:pPr>
          </w:p>
        </w:tc>
        <w:tc>
          <w:tcPr>
            <w:tcW w:w="774" w:type="dxa"/>
            <w:vMerge w:val="continue"/>
            <w:noWrap/>
            <w:vAlign w:val="center"/>
          </w:tcPr>
          <w:p>
            <w:pPr>
              <w:widowControl/>
              <w:spacing w:line="400" w:lineRule="exact"/>
              <w:jc w:val="left"/>
              <w:rPr>
                <w:rFonts w:ascii="仿宋_GB2312" w:hAnsi="仿宋_GB2312" w:eastAsia="仿宋_GB2312" w:cs="仿宋_GB2312"/>
                <w:sz w:val="28"/>
                <w:szCs w:val="28"/>
                <w:highlight w:val="none"/>
              </w:rPr>
            </w:pPr>
          </w:p>
        </w:tc>
        <w:tc>
          <w:tcPr>
            <w:tcW w:w="2966" w:type="dxa"/>
            <w:noWrap/>
            <w:vAlign w:val="center"/>
          </w:tcPr>
          <w:p>
            <w:pPr>
              <w:spacing w:line="4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工程质量</w:t>
            </w:r>
          </w:p>
        </w:tc>
        <w:tc>
          <w:tcPr>
            <w:tcW w:w="5346" w:type="dxa"/>
            <w:noWrap/>
            <w:vAlign w:val="center"/>
          </w:tcPr>
          <w:p>
            <w:pPr>
              <w:spacing w:line="4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符合投标人须知前附表规定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3" w:type="dxa"/>
            <w:vMerge w:val="continue"/>
            <w:noWrap/>
            <w:vAlign w:val="center"/>
          </w:tcPr>
          <w:p>
            <w:pPr>
              <w:widowControl/>
              <w:spacing w:line="400" w:lineRule="exact"/>
              <w:jc w:val="left"/>
              <w:rPr>
                <w:rFonts w:ascii="仿宋_GB2312" w:hAnsi="仿宋_GB2312" w:eastAsia="仿宋_GB2312" w:cs="仿宋_GB2312"/>
                <w:sz w:val="28"/>
                <w:szCs w:val="28"/>
                <w:highlight w:val="none"/>
              </w:rPr>
            </w:pPr>
          </w:p>
        </w:tc>
        <w:tc>
          <w:tcPr>
            <w:tcW w:w="774" w:type="dxa"/>
            <w:vMerge w:val="continue"/>
            <w:noWrap/>
            <w:vAlign w:val="center"/>
          </w:tcPr>
          <w:p>
            <w:pPr>
              <w:widowControl/>
              <w:spacing w:line="400" w:lineRule="exact"/>
              <w:jc w:val="left"/>
              <w:rPr>
                <w:rFonts w:ascii="仿宋_GB2312" w:hAnsi="仿宋_GB2312" w:eastAsia="仿宋_GB2312" w:cs="仿宋_GB2312"/>
                <w:sz w:val="28"/>
                <w:szCs w:val="28"/>
                <w:highlight w:val="none"/>
              </w:rPr>
            </w:pPr>
          </w:p>
        </w:tc>
        <w:tc>
          <w:tcPr>
            <w:tcW w:w="2966" w:type="dxa"/>
            <w:noWrap/>
            <w:vAlign w:val="center"/>
          </w:tcPr>
          <w:p>
            <w:pPr>
              <w:spacing w:line="4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响应有效期</w:t>
            </w:r>
          </w:p>
        </w:tc>
        <w:tc>
          <w:tcPr>
            <w:tcW w:w="5346" w:type="dxa"/>
            <w:noWrap/>
            <w:vAlign w:val="center"/>
          </w:tcPr>
          <w:p>
            <w:pPr>
              <w:spacing w:line="4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符合投标人须知前附表规定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73" w:type="dxa"/>
            <w:vMerge w:val="continue"/>
            <w:noWrap/>
            <w:vAlign w:val="center"/>
          </w:tcPr>
          <w:p>
            <w:pPr>
              <w:widowControl/>
              <w:spacing w:line="400" w:lineRule="exact"/>
              <w:jc w:val="left"/>
              <w:rPr>
                <w:rFonts w:ascii="仿宋_GB2312" w:hAnsi="仿宋_GB2312" w:eastAsia="仿宋_GB2312" w:cs="仿宋_GB2312"/>
                <w:sz w:val="28"/>
                <w:szCs w:val="28"/>
                <w:highlight w:val="none"/>
              </w:rPr>
            </w:pPr>
          </w:p>
        </w:tc>
        <w:tc>
          <w:tcPr>
            <w:tcW w:w="774" w:type="dxa"/>
            <w:vMerge w:val="continue"/>
            <w:noWrap/>
            <w:vAlign w:val="center"/>
          </w:tcPr>
          <w:p>
            <w:pPr>
              <w:widowControl/>
              <w:spacing w:line="400" w:lineRule="exact"/>
              <w:jc w:val="left"/>
              <w:rPr>
                <w:rFonts w:ascii="仿宋_GB2312" w:hAnsi="仿宋_GB2312" w:eastAsia="仿宋_GB2312" w:cs="仿宋_GB2312"/>
                <w:sz w:val="28"/>
                <w:szCs w:val="28"/>
                <w:highlight w:val="none"/>
              </w:rPr>
            </w:pPr>
          </w:p>
        </w:tc>
        <w:tc>
          <w:tcPr>
            <w:tcW w:w="2966" w:type="dxa"/>
            <w:noWrap/>
            <w:vAlign w:val="center"/>
          </w:tcPr>
          <w:p>
            <w:pPr>
              <w:spacing w:line="4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响应报价</w:t>
            </w:r>
          </w:p>
        </w:tc>
        <w:tc>
          <w:tcPr>
            <w:tcW w:w="5346" w:type="dxa"/>
            <w:noWrap/>
            <w:vAlign w:val="center"/>
          </w:tcPr>
          <w:p>
            <w:pPr>
              <w:spacing w:line="4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符合投标人须知前附表规定</w:t>
            </w:r>
          </w:p>
        </w:tc>
      </w:tr>
    </w:tbl>
    <w:p>
      <w:pPr>
        <w:snapToGrid w:val="0"/>
        <w:spacing w:line="400" w:lineRule="exact"/>
        <w:rPr>
          <w:rFonts w:ascii="仿宋_GB2312" w:hAnsi="仿宋_GB2312" w:eastAsia="仿宋_GB2312" w:cs="仿宋_GB2312"/>
          <w:sz w:val="28"/>
          <w:szCs w:val="28"/>
          <w:highlight w:val="none"/>
        </w:rPr>
      </w:pPr>
    </w:p>
    <w:p>
      <w:pPr>
        <w:spacing w:line="440" w:lineRule="atLeast"/>
        <w:ind w:firstLine="562" w:firstLineChars="200"/>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评审小组依据上述标准对响应文件进行初步评审。有一项不符合评审标准的，作无效投标处理。</w:t>
      </w:r>
      <w:bookmarkStart w:id="102" w:name="_Toc37230763"/>
      <w:bookmarkStart w:id="103" w:name="_Toc506107328"/>
      <w:bookmarkStart w:id="104" w:name="_Toc15058922"/>
    </w:p>
    <w:p>
      <w:pPr>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4.2详细评审标准：见评审表。</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4.2.1评审小组审查响应文件，审核包括工程投标报价的校核、审查全部数据计算的正确性、分析各种费用构成的合理性和正确性等内容，看其是否有计算或表达上的错误，响应报价有错误的，评审委员会按以下原则对响应报价进行修正。</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（1）响应文件中的大写金额与小写金额不一致的，以大写金额为准。</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（2）总价金额与依据单价计算出的结果不一致的，以单价金额为准修正总价，但单价金额小数点有明显错误的除外。</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（3）工程量清单报价表中综合单价与工程量清单项目价格分析表相对应综合单价不一致时，以工程量清单项目价格分析表中标出的综合单价为准。</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按上述修正错误的原则及方法调整或修正响应文件的投标报价，调整或修正的价格经投标人书面确认后具有约束力。中标价原则上以调整或修正后的价格为准，调整或修正后的价格与响应报价相比，价格低的为中标价。投标人不接受的，其响应将被拒绝。</w:t>
      </w:r>
    </w:p>
    <w:p>
      <w:pPr>
        <w:pStyle w:val="6"/>
        <w:numPr>
          <w:ilvl w:val="1"/>
          <w:numId w:val="0"/>
        </w:numPr>
        <w:spacing w:line="440" w:lineRule="exact"/>
        <w:ind w:left="420" w:leftChars="200"/>
        <w:rPr>
          <w:rFonts w:ascii="仿宋_GB2312" w:hAnsi="仿宋_GB2312" w:eastAsia="仿宋_GB2312" w:cs="仿宋_GB2312"/>
          <w:sz w:val="28"/>
          <w:szCs w:val="28"/>
          <w:highlight w:val="none"/>
        </w:rPr>
      </w:pPr>
      <w:bookmarkStart w:id="105" w:name="_Toc9577"/>
      <w:r>
        <w:rPr>
          <w:rFonts w:hint="eastAsia" w:ascii="仿宋_GB2312" w:hAnsi="仿宋_GB2312" w:eastAsia="仿宋_GB2312" w:cs="仿宋_GB2312"/>
          <w:sz w:val="28"/>
          <w:szCs w:val="28"/>
          <w:highlight w:val="none"/>
        </w:rPr>
        <w:t>5.无效响应条款</w:t>
      </w:r>
      <w:bookmarkEnd w:id="101"/>
      <w:bookmarkEnd w:id="102"/>
      <w:bookmarkEnd w:id="103"/>
      <w:bookmarkEnd w:id="104"/>
      <w:bookmarkEnd w:id="105"/>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5.1投标人未在选取截止时间前递交响应文件的，将拒收响应文件：</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5.2由资格审查委员会（评审小组）按资格审查办法前附表要求对投标人资料的进行核验。投标人有下列情形之一的，其资格审查为不合格：</w:t>
      </w:r>
    </w:p>
    <w:p>
      <w:pPr>
        <w:spacing w:line="440" w:lineRule="exact"/>
        <w:ind w:firstLine="56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（1）选取文件要求提供原件扫描件，不能提供原件扫描件或原件扫描件经审查不合格；</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（2）法律、法规规定的其他情形；</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5.3其他无效响应情况：</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评审小组发现投标人的响应报价明显低于其他响应报价，使得其响应报价可能低于其成本的，应当要求该投标人作出书面说明并提供相应的证明材料。投标人不能合理说明或者不能提供相应证明材料的，由评审小组认定该投标人以低于成本报价竞标，其响应作无效响应处理。</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（2）按第三章《评标方法》4.2条款修正错误的原则及方法调整或修正响应文件的响应报价，调整或修正的价格经投标人书面确认后具有约束力。投标人不接修正价格的，其响应将被拒绝。</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（3）第二章“投标人须知”第7.2,7.3条规定的任何一种情形的。</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（4）投标人有串通响应、弄虚作假、行贿等违法行为。</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（5）响应文件没有对选取文件的实质性要求和条件作出响应。</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（6）未按规定的格式填写，实质性内容不全或关键字迹模糊、无法辨认的。</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（7）同一投标人提交两个以上不同的响应文件或者响应报价，但选取文件规定提交备选投标的除外。</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（8）响应文件中存在项目单位不能接受的其他实质性条件。</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（9）响应文件中填报的拟任项目负责人与资格审查通过的项目负责人前后不一致的。</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（10）投标人拒不按照要求对响应文件进行澄清、说明、补正的，或评审委员会根据选取文件的规定对选取文件的计算错误进行修正后，投标人不接受修正的响应报价的。</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（11）投标人MAC地址一致。</w:t>
      </w:r>
    </w:p>
    <w:p>
      <w:pPr>
        <w:spacing w:line="440" w:lineRule="exact"/>
        <w:ind w:firstLine="560" w:firstLineChars="200"/>
        <w:rPr>
          <w:rFonts w:ascii="仿宋_GB2312" w:hAnsi="仿宋_GB2312" w:eastAsia="仿宋_GB2312" w:cs="仿宋_GB2312"/>
          <w:strike/>
          <w:color w:val="FF0000"/>
          <w:sz w:val="28"/>
          <w:szCs w:val="28"/>
          <w:highlight w:val="none"/>
        </w:rPr>
      </w:pPr>
      <w:r>
        <w:rPr>
          <w:rFonts w:hint="eastAsia" w:ascii="仿宋_GB2312" w:hAnsi="仿宋_GB2312" w:eastAsia="仿宋_GB2312" w:cs="仿宋_GB2312"/>
          <w:sz w:val="28"/>
          <w:szCs w:val="28"/>
          <w:highlight w:val="none"/>
        </w:rPr>
        <w:t>（12）</w:t>
      </w:r>
      <w:r>
        <w:rPr>
          <w:rFonts w:hint="eastAsia" w:ascii="仿宋_GB2312" w:hAnsi="仿宋_GB2312" w:eastAsia="仿宋_GB2312" w:cs="仿宋_GB2312"/>
          <w:bCs/>
          <w:sz w:val="28"/>
          <w:szCs w:val="28"/>
          <w:highlight w:val="none"/>
        </w:rPr>
        <w:t>评审时查询响应文件制作机器码、文件创建标识码及造价软件加密锁号。若存在响应文件制作机器码或创建标识码或造价软件加密锁号信息与其他投标人雷同的，响应无效。</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（13）法律、法规规定的其他情形。</w:t>
      </w:r>
    </w:p>
    <w:p>
      <w:pPr>
        <w:pStyle w:val="6"/>
        <w:numPr>
          <w:ilvl w:val="1"/>
          <w:numId w:val="0"/>
        </w:numPr>
        <w:spacing w:line="440" w:lineRule="exact"/>
        <w:ind w:left="420" w:leftChars="200"/>
        <w:rPr>
          <w:rFonts w:ascii="仿宋_GB2312" w:hAnsi="仿宋_GB2312" w:eastAsia="仿宋_GB2312" w:cs="仿宋_GB2312"/>
          <w:sz w:val="28"/>
          <w:szCs w:val="28"/>
          <w:highlight w:val="none"/>
        </w:rPr>
      </w:pPr>
      <w:bookmarkStart w:id="106" w:name="_Toc16924"/>
      <w:bookmarkStart w:id="107" w:name="_Toc15058923"/>
      <w:bookmarkStart w:id="108" w:name="_Toc506107329"/>
      <w:bookmarkStart w:id="109" w:name="_Toc37230764"/>
      <w:bookmarkStart w:id="110" w:name="_Toc324404877"/>
      <w:r>
        <w:rPr>
          <w:rFonts w:hint="eastAsia" w:ascii="仿宋_GB2312" w:hAnsi="仿宋_GB2312" w:eastAsia="仿宋_GB2312" w:cs="仿宋_GB2312"/>
          <w:sz w:val="28"/>
          <w:szCs w:val="28"/>
          <w:highlight w:val="none"/>
        </w:rPr>
        <w:t>6.响应文件的澄清和补正</w:t>
      </w:r>
      <w:bookmarkEnd w:id="106"/>
      <w:bookmarkEnd w:id="107"/>
      <w:bookmarkEnd w:id="108"/>
      <w:bookmarkEnd w:id="109"/>
      <w:bookmarkEnd w:id="110"/>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6.1在评审过程中，评审小组可以书面形式要求投标人对所提交的响应文件中不明确的内容进行书面澄清或说明，或者对细微偏差进行补正。评审小组不接受投标人主动提出的澄清、说明或补正。</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6.2澄清、说明和补正不得改变响应文件的实质性内容（算术性错误修正的除外）。投标人的书面澄清、说明和补正属于响应文件的组成部分。</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6.3评审小组对投标人提交的澄清、说明和补正有疑问的，可以要求投标人进一步澄清、说明或补正、直至满足评审委员会的要求。</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按照响应文件规定进行澄清、补正后的响应报价经投标人的法定代表人或其委托代理人确认后即为该投标人的最终响应报价。投标人一旦中标，此报价即为中标价。</w:t>
      </w:r>
    </w:p>
    <w:p>
      <w:pPr>
        <w:spacing w:line="440" w:lineRule="exact"/>
        <w:ind w:firstLine="562" w:firstLineChars="200"/>
        <w:rPr>
          <w:rFonts w:ascii="仿宋_GB2312" w:hAnsi="仿宋_GB2312" w:eastAsia="仿宋_GB2312" w:cs="仿宋_GB2312"/>
          <w:b/>
          <w:bCs/>
          <w:sz w:val="28"/>
          <w:szCs w:val="28"/>
          <w:highlight w:val="none"/>
        </w:rPr>
      </w:pPr>
      <w:bookmarkStart w:id="111" w:name="_Toc506107330"/>
      <w:bookmarkStart w:id="112" w:name="_Toc15058924"/>
      <w:bookmarkStart w:id="113" w:name="_Toc37230765"/>
      <w:bookmarkStart w:id="114" w:name="_Toc324404878"/>
      <w:r>
        <w:rPr>
          <w:rFonts w:hint="eastAsia" w:ascii="仿宋_GB2312" w:hAnsi="仿宋_GB2312" w:eastAsia="仿宋_GB2312" w:cs="仿宋_GB2312"/>
          <w:b/>
          <w:bCs/>
          <w:sz w:val="28"/>
          <w:szCs w:val="28"/>
          <w:highlight w:val="none"/>
        </w:rPr>
        <w:t>7</w:t>
      </w:r>
      <w:bookmarkEnd w:id="111"/>
      <w:bookmarkEnd w:id="112"/>
      <w:bookmarkEnd w:id="113"/>
      <w:bookmarkEnd w:id="114"/>
      <w:bookmarkStart w:id="115" w:name="_Toc324404879"/>
      <w:bookmarkStart w:id="116" w:name="_Toc37230766"/>
      <w:bookmarkStart w:id="117" w:name="_Toc506107331"/>
      <w:bookmarkStart w:id="118" w:name="_Toc15058925"/>
      <w:r>
        <w:rPr>
          <w:rFonts w:hint="eastAsia" w:ascii="仿宋_GB2312" w:hAnsi="仿宋_GB2312" w:eastAsia="仿宋_GB2312" w:cs="仿宋_GB2312"/>
          <w:b/>
          <w:bCs/>
          <w:sz w:val="28"/>
          <w:szCs w:val="28"/>
          <w:highlight w:val="none"/>
        </w:rPr>
        <w:t>.评审结果</w:t>
      </w:r>
      <w:bookmarkEnd w:id="115"/>
      <w:bookmarkEnd w:id="116"/>
      <w:bookmarkEnd w:id="117"/>
      <w:bookmarkEnd w:id="118"/>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7.1除第一章投标人须知前附表授权直接确定中标人外，评审小组按照选取办法规定推荐中标候选人。</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7.2评审委员会推荐的中标候选人应当限定在</w:t>
      </w:r>
      <w:r>
        <w:rPr>
          <w:rFonts w:hint="eastAsia" w:ascii="仿宋_GB2312" w:hAnsi="仿宋_GB2312" w:eastAsia="仿宋_GB2312" w:cs="仿宋_GB2312"/>
          <w:sz w:val="28"/>
          <w:szCs w:val="28"/>
          <w:highlight w:val="none"/>
          <w:u w:val="single"/>
          <w:lang w:val="en-US" w:eastAsia="zh-CN"/>
        </w:rPr>
        <w:t>3</w:t>
      </w:r>
      <w:r>
        <w:rPr>
          <w:rFonts w:hint="eastAsia" w:ascii="仿宋_GB2312" w:hAnsi="仿宋_GB2312" w:eastAsia="仿宋_GB2312" w:cs="仿宋_GB2312"/>
          <w:sz w:val="28"/>
          <w:szCs w:val="28"/>
          <w:highlight w:val="none"/>
        </w:rPr>
        <w:t>名。</w:t>
      </w:r>
    </w:p>
    <w:p>
      <w:pPr>
        <w:pStyle w:val="6"/>
        <w:numPr>
          <w:ilvl w:val="1"/>
          <w:numId w:val="0"/>
        </w:numPr>
        <w:spacing w:line="440" w:lineRule="exact"/>
        <w:ind w:left="420" w:leftChars="200"/>
        <w:rPr>
          <w:rFonts w:ascii="仿宋_GB2312" w:hAnsi="仿宋_GB2312" w:eastAsia="仿宋_GB2312" w:cs="仿宋_GB2312"/>
          <w:sz w:val="28"/>
          <w:szCs w:val="28"/>
          <w:highlight w:val="none"/>
        </w:rPr>
      </w:pPr>
      <w:bookmarkStart w:id="119" w:name="_Toc324404880"/>
      <w:bookmarkStart w:id="120" w:name="_Toc37230767"/>
      <w:bookmarkStart w:id="121" w:name="_Toc506107332"/>
      <w:bookmarkStart w:id="122" w:name="_Toc15058926"/>
      <w:bookmarkStart w:id="123" w:name="_Toc15198"/>
      <w:r>
        <w:rPr>
          <w:rFonts w:hint="eastAsia" w:ascii="仿宋_GB2312" w:hAnsi="仿宋_GB2312" w:eastAsia="仿宋_GB2312" w:cs="仿宋_GB2312"/>
          <w:sz w:val="28"/>
          <w:szCs w:val="28"/>
          <w:highlight w:val="none"/>
        </w:rPr>
        <w:t>8.其他</w:t>
      </w:r>
      <w:bookmarkEnd w:id="119"/>
      <w:bookmarkEnd w:id="120"/>
      <w:bookmarkEnd w:id="121"/>
      <w:bookmarkEnd w:id="122"/>
      <w:bookmarkEnd w:id="123"/>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投标人提供的与响应文件有关的各类证书、证明、文件、资料等的真实性、合法性由投标人负全责。</w:t>
      </w:r>
      <w:bookmarkEnd w:id="73"/>
      <w:bookmarkEnd w:id="74"/>
      <w:bookmarkEnd w:id="75"/>
      <w:bookmarkEnd w:id="76"/>
      <w:bookmarkEnd w:id="77"/>
      <w:bookmarkEnd w:id="78"/>
      <w:bookmarkEnd w:id="79"/>
      <w:bookmarkEnd w:id="80"/>
      <w:bookmarkStart w:id="124" w:name="_Toc324404881"/>
      <w:bookmarkStart w:id="125" w:name="_Toc417623601"/>
      <w:bookmarkStart w:id="126" w:name="_Toc152045609"/>
      <w:bookmarkStart w:id="127" w:name="_Toc144974577"/>
      <w:bookmarkStart w:id="128" w:name="_Toc246996995"/>
      <w:bookmarkStart w:id="129" w:name="_Toc247085767"/>
      <w:bookmarkStart w:id="130" w:name="_Toc179632627"/>
      <w:bookmarkStart w:id="131" w:name="_Toc152042387"/>
      <w:bookmarkStart w:id="132" w:name="_Toc246996252"/>
    </w:p>
    <w:bookmarkEnd w:id="124"/>
    <w:bookmarkEnd w:id="125"/>
    <w:bookmarkEnd w:id="126"/>
    <w:bookmarkEnd w:id="127"/>
    <w:bookmarkEnd w:id="128"/>
    <w:bookmarkEnd w:id="129"/>
    <w:bookmarkEnd w:id="130"/>
    <w:bookmarkEnd w:id="131"/>
    <w:bookmarkEnd w:id="132"/>
    <w:p>
      <w:pPr>
        <w:pStyle w:val="2"/>
        <w:ind w:firstLine="560"/>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pStyle w:val="2"/>
        <w:ind w:firstLine="560"/>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pStyle w:val="6"/>
        <w:numPr>
          <w:ilvl w:val="1"/>
          <w:numId w:val="0"/>
        </w:numPr>
        <w:ind w:left="431"/>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pStyle w:val="6"/>
        <w:numPr>
          <w:ilvl w:val="1"/>
          <w:numId w:val="0"/>
        </w:numPr>
        <w:ind w:left="431"/>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pStyle w:val="6"/>
        <w:numPr>
          <w:ilvl w:val="1"/>
          <w:numId w:val="0"/>
        </w:numPr>
        <w:ind w:left="431"/>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pStyle w:val="6"/>
        <w:numPr>
          <w:ilvl w:val="1"/>
          <w:numId w:val="0"/>
        </w:numPr>
        <w:ind w:left="431"/>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pStyle w:val="6"/>
        <w:numPr>
          <w:ilvl w:val="1"/>
          <w:numId w:val="0"/>
        </w:numPr>
        <w:ind w:left="431"/>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pStyle w:val="6"/>
        <w:numPr>
          <w:ilvl w:val="1"/>
          <w:numId w:val="0"/>
        </w:numPr>
        <w:ind w:left="431"/>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pStyle w:val="6"/>
        <w:numPr>
          <w:ilvl w:val="1"/>
          <w:numId w:val="0"/>
        </w:numPr>
        <w:ind w:left="431"/>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pStyle w:val="5"/>
        <w:spacing w:before="0" w:after="0" w:line="240" w:lineRule="auto"/>
        <w:ind w:firstLine="2811" w:firstLineChars="1000"/>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第四章  采购需求及要求</w:t>
      </w:r>
    </w:p>
    <w:p>
      <w:pPr>
        <w:pStyle w:val="5"/>
        <w:spacing w:before="100" w:beforeAutospacing="1" w:after="0" w:line="312" w:lineRule="auto"/>
        <w:ind w:firstLine="562"/>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一、采购清单及最高限价</w:t>
      </w:r>
    </w:p>
    <w:bookmarkEnd w:id="53"/>
    <w:bookmarkEnd w:id="54"/>
    <w:bookmarkEnd w:id="55"/>
    <w:tbl>
      <w:tblPr>
        <w:tblStyle w:val="33"/>
        <w:tblW w:w="9657" w:type="dxa"/>
        <w:tblInd w:w="91" w:type="dxa"/>
        <w:tblLayout w:type="fixed"/>
        <w:tblCellMar>
          <w:top w:w="0" w:type="dxa"/>
          <w:left w:w="108" w:type="dxa"/>
          <w:bottom w:w="0" w:type="dxa"/>
          <w:right w:w="108" w:type="dxa"/>
        </w:tblCellMar>
      </w:tblPr>
      <w:tblGrid>
        <w:gridCol w:w="589"/>
        <w:gridCol w:w="1706"/>
        <w:gridCol w:w="4006"/>
        <w:gridCol w:w="725"/>
        <w:gridCol w:w="2631"/>
      </w:tblGrid>
      <w:tr>
        <w:tblPrEx>
          <w:tblCellMar>
            <w:top w:w="0" w:type="dxa"/>
            <w:left w:w="108" w:type="dxa"/>
            <w:bottom w:w="0" w:type="dxa"/>
            <w:right w:w="108" w:type="dxa"/>
          </w:tblCellMar>
        </w:tblPrEx>
        <w:trPr>
          <w:trHeight w:val="487"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项目名称</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特征描述</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计量单位</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综合单价</w:t>
            </w:r>
            <w:r>
              <w:rPr>
                <w:rFonts w:hint="eastAsia" w:ascii="宋体" w:hAnsi="宋体" w:eastAsia="宋体" w:cs="宋体"/>
                <w:color w:val="000000"/>
                <w:kern w:val="0"/>
                <w:sz w:val="24"/>
                <w:szCs w:val="24"/>
                <w:highlight w:val="none"/>
                <w:lang w:val="en-US" w:eastAsia="zh-CN"/>
              </w:rPr>
              <w:t>(元）</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横幅及安装</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规格70cm宽样式按业主要求，含安装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11.33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横幅及安装</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规格90cm宽样式按业主要求，含安装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12.00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志愿者服装</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帽子+马甲（含印字）样式按业主要求</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套</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48.33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灯杆道旗</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176.67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写真覆膜+KT板</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56.67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户外写真覆膜+覆KT板</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58.33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户外写真覆膜+覆pvc板</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91.67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8</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喷绘</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25.67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9</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写真</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28.33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10</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户外写真</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35.00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11</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铝合金海报框</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34.33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12</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磁吸海报框</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规格：50*70cm样式按业主要求，含安装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件</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92.67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13</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磁吸海报框</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规格：60*90cm样式按业主要求，含安装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件</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116.67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亚克力照片盒</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规格：双层A4，样式按业主要求，含安装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个</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26.67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15</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亚克力台牌</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规格：A4，样式按业主要求，含安装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个</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30.00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16</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亚克力台牌</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规格：25*13cm，样式按业主要求，含安装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个</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26.67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17</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不锈钢大展架</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规格：240*120cm，样式按业主要求，含安装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件</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660.00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18</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不锈钢水牌</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规格：60*90cm，样式按业主要求，含安装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件</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190.00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19</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不锈钢水牌</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规格：80*120cm，样式按业主要求，含安装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件</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220.00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20</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铝合金海报架</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规格：60*90cm，样式按业主要求，含安装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件</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90.00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21</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铝合金海报架</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规格：80*120cm，样式按业主要求，含安装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件</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131.67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22</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印刷粉红纸</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规格：A4*5000张样式按业主要求，含安装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项</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1210.00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23</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印刷普通白纸</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规格：A4*5000张样式按业主要求，含安装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项</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906.67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24</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印刷宣传彩页</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规格A4*157克*1000张，样式按业主要求，含安装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项</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193.33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25</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印刷宣传彩页</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规格A4*157克*2000张，样式按业主要求，含安装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项</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290.00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26</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印刷宣传彩页</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规格A4*157克*3000张，样式按业主要求，含安装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项</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398.33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27</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印刷宣传彩页</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规格A4*157克*5000张，样式按业主要求，含安装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项</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626.67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28</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彩色打印铜版纸</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规格单面A4，样式按业主要求，含安装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张</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3.73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29</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焊单框架+喷绘</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93.33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30</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焊单框架+铁皮+喷绘</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136.67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31</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pvc雕刻</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104.00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32</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uv打印</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98.33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33</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亚克力uv背喷</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334.00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34</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工地围栏</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方管+彩钢瓦规格2m高样式按业主要求，含安装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105.00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35</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工地围栏</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角钢+彩钢瓦规格5m高样式按业主要求，含安装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160.00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36</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围栏绿草皮</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33.33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37</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宣传栏</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1433.33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38</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墙体彩绘</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手绘或机绘</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360.00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39</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荣誉证书</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A3硬壳含内页彩打</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个</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20.00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40</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奖牌</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60x40cm木质底座、钛金面</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块</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130.00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41</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水晶奖杯</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高30cm</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个</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126.67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42</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绶带</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13x180cm 金粉印刷</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条</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23.33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43</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锦旗</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110x70cm金粉印刷</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个</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130.00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44</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袖标</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条</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9.00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45</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旗帜</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38.33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46</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三折页宣传单</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A3铜版纸 157g双面彩印压痕（1000份/种）</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种</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648.33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47</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绿化护栏</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立柱50*50mm方管厚度1.0mm，横杆20*40mm的厚度1.0mm，竖杆20*20mm厚度1.0mm，含安装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145.00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48</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冲洗</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张</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49</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亚克力卡槽</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个</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28.67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50</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彩钢瓦铁皮+方管+画面</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套</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163.33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51</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书架</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个</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506.33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52</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不锈钢腐蚀字+烤漆字</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块</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553.33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53</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钛金牌</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60CMX40CM，含安装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块</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141.67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54</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不锈钢牌</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60CMX40CM，含安装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块</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150.67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55</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P</w:t>
            </w:r>
            <w:r>
              <w:rPr>
                <w:rStyle w:val="105"/>
                <w:rFonts w:hint="eastAsia" w:ascii="宋体" w:hAnsi="宋体" w:eastAsia="宋体" w:cs="宋体"/>
                <w:sz w:val="24"/>
                <w:szCs w:val="24"/>
                <w:highlight w:val="none"/>
              </w:rPr>
              <w:t>VC+亚克力</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255.00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56</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户外白胶覆</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18.17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57</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亚克力牌</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338.33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58</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伸缩杆</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根</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43.33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59</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铜板双面彩</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张</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6.67</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60</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双胶</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张</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61</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喷漆</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58.33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62</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喷绘布</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m2</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30.00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63</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无纺布袋</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个</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64</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手提包</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个</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31.00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65</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亚克力台卡</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个</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36.33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66</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定制宣传扇子</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尺寸24*33cm，材质：覆亮膜加厚不干胶扇面+白色一体塑料柄，双面彩色印刷</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个</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4.00</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67</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定制宣传抽纸</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规格样式按业主要求，含安装</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只</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4.83</w:t>
            </w:r>
          </w:p>
        </w:tc>
      </w:tr>
      <w:tr>
        <w:tblPrEx>
          <w:tblCellMar>
            <w:top w:w="0" w:type="dxa"/>
            <w:left w:w="108" w:type="dxa"/>
            <w:bottom w:w="0" w:type="dxa"/>
            <w:right w:w="108" w:type="dxa"/>
          </w:tblCellMar>
        </w:tblPrEx>
        <w:trPr>
          <w:cantSplit/>
          <w:trHeight w:val="283"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68</w:t>
            </w:r>
          </w:p>
        </w:tc>
        <w:tc>
          <w:tcPr>
            <w:tcW w:w="170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雨伞</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规格：57cmx8k，材质：防晒、防紫外线、黑胶 、全钢骨架、印制内容，2种内容以上</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把</w:t>
            </w: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31.33</w:t>
            </w:r>
          </w:p>
        </w:tc>
      </w:tr>
      <w:tr>
        <w:tblPrEx>
          <w:tblCellMar>
            <w:top w:w="0" w:type="dxa"/>
            <w:left w:w="108" w:type="dxa"/>
            <w:bottom w:w="0" w:type="dxa"/>
            <w:right w:w="108" w:type="dxa"/>
          </w:tblCellMar>
        </w:tblPrEx>
        <w:trPr>
          <w:cantSplit/>
          <w:trHeight w:val="283" w:hRule="atLeast"/>
        </w:trPr>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合计</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2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12336.40</w:t>
            </w:r>
          </w:p>
        </w:tc>
      </w:tr>
    </w:tbl>
    <w:p>
      <w:pPr>
        <w:rPr>
          <w:rFonts w:ascii="仿宋_GB2312" w:hAnsi="仿宋_GB2312" w:eastAsia="仿宋_GB2312" w:cs="仿宋_GB2312"/>
          <w:sz w:val="28"/>
          <w:szCs w:val="28"/>
          <w:highlight w:val="none"/>
        </w:rPr>
      </w:pPr>
    </w:p>
    <w:p>
      <w:pPr>
        <w:ind w:firstLine="562"/>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备注：</w:t>
      </w:r>
    </w:p>
    <w:p>
      <w:pPr>
        <w:ind w:firstLine="562"/>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1、本项目供货安装地点及所采购的项目中的内容等要求，中标后根据招标单位的具体要求进行供货、制作、安装。</w:t>
      </w:r>
    </w:p>
    <w:p>
      <w:pPr>
        <w:pStyle w:val="2"/>
        <w:ind w:left="0" w:leftChars="0" w:firstLine="562" w:firstLineChars="200"/>
        <w:rPr>
          <w:rFonts w:ascii="仿宋_GB2312" w:hAnsi="仿宋_GB2312" w:eastAsia="仿宋_GB2312" w:cs="仿宋_GB2312"/>
          <w:sz w:val="28"/>
          <w:szCs w:val="28"/>
          <w:highlight w:val="none"/>
        </w:rPr>
        <w:sectPr>
          <w:headerReference r:id="rId7" w:type="default"/>
          <w:footerReference r:id="rId8" w:type="default"/>
          <w:pgSz w:w="11906" w:h="16838"/>
          <w:pgMar w:top="1134" w:right="1800" w:bottom="1440" w:left="1800" w:header="851" w:footer="992" w:gutter="0"/>
          <w:cols w:space="720" w:num="1"/>
          <w:docGrid w:type="lines" w:linePitch="312" w:charSpace="0"/>
        </w:sectPr>
      </w:pPr>
      <w:r>
        <w:rPr>
          <w:rFonts w:hint="eastAsia" w:ascii="仿宋_GB2312" w:hAnsi="仿宋_GB2312" w:eastAsia="仿宋_GB2312" w:cs="仿宋_GB2312"/>
          <w:b/>
          <w:bCs/>
          <w:sz w:val="28"/>
          <w:szCs w:val="28"/>
          <w:highlight w:val="none"/>
        </w:rPr>
        <w:t>2、</w:t>
      </w:r>
      <w:bookmarkStart w:id="139" w:name="_GoBack"/>
      <w:bookmarkEnd w:id="139"/>
      <w:r>
        <w:rPr>
          <w:rFonts w:hint="eastAsia" w:ascii="仿宋_GB2312" w:hAnsi="仿宋_GB2312" w:eastAsia="仿宋_GB2312" w:cs="仿宋_GB2312"/>
          <w:b/>
          <w:bCs/>
          <w:sz w:val="28"/>
          <w:szCs w:val="28"/>
          <w:highlight w:val="none"/>
        </w:rPr>
        <w:t>供货批次会分批要求中标单位进行供货安装，工程量以实际供货为准，中标综合单价不作调整，投标单位自行考虑其中的价格风险。</w:t>
      </w:r>
    </w:p>
    <w:bookmarkEnd w:id="56"/>
    <w:p>
      <w:pPr>
        <w:spacing w:line="360" w:lineRule="auto"/>
        <w:ind w:firstLine="562"/>
        <w:jc w:val="center"/>
        <w:rPr>
          <w:rFonts w:ascii="仿宋_GB2312" w:hAnsi="仿宋_GB2312" w:eastAsia="仿宋_GB2312" w:cs="仿宋_GB2312"/>
          <w:b/>
          <w:sz w:val="28"/>
          <w:szCs w:val="28"/>
          <w:highlight w:val="none"/>
        </w:rPr>
      </w:pPr>
      <w:bookmarkStart w:id="133" w:name="_Toc18045"/>
      <w:bookmarkStart w:id="134" w:name="_Toc22085"/>
      <w:bookmarkStart w:id="135" w:name="_Toc449028948"/>
      <w:r>
        <w:rPr>
          <w:rFonts w:hint="eastAsia" w:ascii="仿宋_GB2312" w:hAnsi="仿宋_GB2312" w:eastAsia="仿宋_GB2312" w:cs="仿宋_GB2312"/>
          <w:b/>
          <w:sz w:val="28"/>
          <w:szCs w:val="28"/>
          <w:highlight w:val="none"/>
        </w:rPr>
        <w:t>第五章 合同条款</w:t>
      </w:r>
    </w:p>
    <w:p>
      <w:pPr>
        <w:snapToGrid w:val="0"/>
        <w:spacing w:line="50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（签订合同时，仅以此文本为基准，具体条款双方协定）</w:t>
      </w:r>
    </w:p>
    <w:p>
      <w:pPr>
        <w:numPr>
          <w:ilvl w:val="0"/>
          <w:numId w:val="9"/>
        </w:numPr>
        <w:spacing w:line="500" w:lineRule="exact"/>
        <w:ind w:firstLine="562"/>
        <w:jc w:val="center"/>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合同协议书（格式）</w:t>
      </w:r>
    </w:p>
    <w:p>
      <w:pPr>
        <w:spacing w:line="500" w:lineRule="exact"/>
        <w:ind w:firstLine="3795" w:firstLineChars="1350"/>
        <w:rPr>
          <w:rFonts w:ascii="仿宋_GB2312" w:hAnsi="仿宋_GB2312" w:eastAsia="仿宋_GB2312" w:cs="仿宋_GB2312"/>
          <w:sz w:val="28"/>
          <w:szCs w:val="28"/>
          <w:highlight w:val="none"/>
        </w:rPr>
      </w:pPr>
      <w:r>
        <w:rPr>
          <w:rFonts w:hint="eastAsia" w:ascii="仿宋_GB2312" w:hAnsi="仿宋_GB2312" w:eastAsia="仿宋_GB2312" w:cs="仿宋_GB2312"/>
          <w:b/>
          <w:sz w:val="28"/>
          <w:szCs w:val="28"/>
          <w:highlight w:val="none"/>
        </w:rPr>
        <w:t xml:space="preserve">合同名称        </w:t>
      </w:r>
      <w:r>
        <w:rPr>
          <w:rFonts w:hint="eastAsia" w:ascii="仿宋_GB2312" w:hAnsi="仿宋_GB2312" w:eastAsia="仿宋_GB2312" w:cs="仿宋_GB2312"/>
          <w:sz w:val="28"/>
          <w:szCs w:val="28"/>
          <w:highlight w:val="none"/>
        </w:rPr>
        <w:t xml:space="preserve">          编号</w:t>
      </w:r>
    </w:p>
    <w:p>
      <w:pP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    方：                                   乙    方：</w:t>
      </w:r>
    </w:p>
    <w:p>
      <w:pP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电    话：                                   电    话：</w:t>
      </w:r>
    </w:p>
    <w:p>
      <w:pP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住    所：                                   住    所：                       </w:t>
      </w:r>
    </w:p>
    <w:p>
      <w:pPr>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（甲方）的（项目名称）中所需（产品名称） 经公开招标，确定（乙方）为中标人。按照中华人民共和国合同法的规定，买卖双方同意按照下述的条款和条件，签署本合同。</w:t>
      </w:r>
    </w:p>
    <w:p>
      <w:pP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1、本合同文件</w:t>
      </w:r>
    </w:p>
    <w:p>
      <w:pPr>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下列每一文件均应作为合同的组成部分进行阅读和解释：</w:t>
      </w:r>
    </w:p>
    <w:p>
      <w:pPr>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（1）交易文件（2）投标文件（3）中标通知书（4）经双方确认进入合同的其它文件、补充条款或说明</w:t>
      </w:r>
    </w:p>
    <w:p>
      <w:pPr>
        <w:spacing w:line="36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2、采购数量、质量要求</w:t>
      </w:r>
    </w:p>
    <w:p>
      <w:pPr>
        <w:pStyle w:val="2"/>
        <w:spacing w:line="360" w:lineRule="exact"/>
        <w:ind w:left="0" w:leftChars="0" w:firstLine="560"/>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2.1采购数量</w:t>
      </w:r>
      <w:r>
        <w:rPr>
          <w:rFonts w:hint="eastAsia" w:ascii="仿宋_GB2312" w:hAnsi="仿宋_GB2312" w:eastAsia="仿宋_GB2312" w:cs="仿宋_GB2312"/>
          <w:sz w:val="28"/>
          <w:szCs w:val="28"/>
          <w:highlight w:val="none"/>
          <w:u w:val="single"/>
        </w:rPr>
        <w:t>详见采购清单。</w:t>
      </w:r>
    </w:p>
    <w:p>
      <w:pPr>
        <w:pStyle w:val="2"/>
        <w:spacing w:line="360" w:lineRule="exact"/>
        <w:ind w:left="0" w:leftChars="0" w:firstLine="56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2.2 质量要求</w:t>
      </w:r>
      <w:r>
        <w:rPr>
          <w:rFonts w:hint="eastAsia" w:ascii="仿宋_GB2312" w:hAnsi="仿宋_GB2312" w:eastAsia="仿宋_GB2312" w:cs="仿宋_GB2312"/>
          <w:sz w:val="28"/>
          <w:szCs w:val="28"/>
          <w:highlight w:val="none"/>
          <w:u w:val="single"/>
        </w:rPr>
        <w:t>合格</w:t>
      </w:r>
      <w:r>
        <w:rPr>
          <w:rFonts w:hint="eastAsia" w:ascii="仿宋_GB2312" w:hAnsi="仿宋_GB2312" w:eastAsia="仿宋_GB2312" w:cs="仿宋_GB2312"/>
          <w:sz w:val="28"/>
          <w:szCs w:val="28"/>
          <w:highlight w:val="none"/>
        </w:rPr>
        <w:t>。</w:t>
      </w:r>
    </w:p>
    <w:p>
      <w:pPr>
        <w:spacing w:line="36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3、合同总价</w:t>
      </w:r>
    </w:p>
    <w:p>
      <w:pPr>
        <w:spacing w:line="36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合同总价为</w:t>
      </w:r>
      <w:r>
        <w:rPr>
          <w:rFonts w:hint="eastAsia" w:ascii="仿宋_GB2312" w:hAnsi="仿宋_GB2312" w:eastAsia="仿宋_GB2312" w:cs="仿宋_GB2312"/>
          <w:sz w:val="28"/>
          <w:szCs w:val="28"/>
          <w:highlight w:val="none"/>
          <w:u w:val="single"/>
        </w:rPr>
        <w:t>元</w:t>
      </w:r>
      <w:r>
        <w:rPr>
          <w:rFonts w:hint="eastAsia" w:ascii="仿宋_GB2312" w:hAnsi="仿宋_GB2312" w:eastAsia="仿宋_GB2312" w:cs="仿宋_GB2312"/>
          <w:sz w:val="28"/>
          <w:szCs w:val="28"/>
          <w:highlight w:val="none"/>
        </w:rPr>
        <w:t>人民币。</w:t>
      </w:r>
    </w:p>
    <w:p>
      <w:pPr>
        <w:spacing w:line="360" w:lineRule="exact"/>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 xml:space="preserve">4、付款方式: </w:t>
      </w:r>
    </w:p>
    <w:p>
      <w:pPr>
        <w:spacing w:line="360" w:lineRule="exact"/>
        <w:ind w:firstLine="560" w:firstLineChars="200"/>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4.1无预付款，货物运至甲方指定地点供货、安装、调试结束，验收合格并开具发票后，全额付款。</w:t>
      </w:r>
    </w:p>
    <w:p>
      <w:pPr>
        <w:spacing w:line="360" w:lineRule="exact"/>
        <w:ind w:firstLine="560" w:firstLineChars="200"/>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4.2本项目采用固定单价合同，自合同签订之日起12个月，总价不得超过5万，结算时综合单价不作任何调整，经验收合格结算。</w:t>
      </w:r>
    </w:p>
    <w:p>
      <w:pPr>
        <w:spacing w:line="360" w:lineRule="exact"/>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5、质保期</w:t>
      </w:r>
    </w:p>
    <w:p>
      <w:pPr>
        <w:pStyle w:val="2"/>
        <w:ind w:left="0" w:leftChars="0" w:firstLine="560"/>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质保壹年，以项目安装完成验收合格日为质保期开始时间。货物的颜色要保证一年内不得发生变化，质保期内出现产品质量问题由乙方免费维修，但因甲方或用户的人为损坏，维修费用 (人工费、材料费等)由甲方负担。超出保修期的产品维修，乙方实行有偿维修，所有费用由甲方负担。</w:t>
      </w:r>
    </w:p>
    <w:p>
      <w:pPr>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6、现场安全</w:t>
      </w:r>
    </w:p>
    <w:p>
      <w:pPr>
        <w:pStyle w:val="2"/>
        <w:ind w:left="0" w:leftChars="0" w:firstLine="560"/>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现场的安全由乙方自己采取有效防护措施，如在安装及调试（包括但不限于）过程中发生意外，全权有乙方负责。</w:t>
      </w:r>
    </w:p>
    <w:p>
      <w:pPr>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7、产品质量要求、执行标准</w:t>
      </w:r>
    </w:p>
    <w:p>
      <w:pPr>
        <w:pStyle w:val="2"/>
        <w:ind w:left="0" w:leftChars="0" w:firstLine="560"/>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7.1、乙方所加工制作定制的产品符合相关国家、行业及企业产品标准;</w:t>
      </w:r>
    </w:p>
    <w:p>
      <w:pPr>
        <w:pStyle w:val="2"/>
        <w:ind w:left="0" w:leftChars="0" w:firstLine="560"/>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7.2产品质量以甲乙双方共同确认的约定为准。</w:t>
      </w:r>
    </w:p>
    <w:p>
      <w:pPr>
        <w:spacing w:line="360" w:lineRule="exact"/>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8、合同的生效</w:t>
      </w:r>
    </w:p>
    <w:p>
      <w:pPr>
        <w:pStyle w:val="3"/>
        <w:spacing w:after="0" w:line="360" w:lineRule="exact"/>
        <w:ind w:left="0" w:leftChars="0" w:firstLine="560" w:firstLineChars="200"/>
        <w:rPr>
          <w:rFonts w:ascii="仿宋_GB2312" w:hAnsi="仿宋_GB2312" w:eastAsia="仿宋_GB2312" w:cs="仿宋_GB2312"/>
          <w:b/>
          <w:bCs/>
          <w:kern w:val="0"/>
          <w:sz w:val="28"/>
          <w:szCs w:val="28"/>
          <w:highlight w:val="none"/>
          <w:u w:color="000000"/>
        </w:rPr>
      </w:pPr>
      <w:r>
        <w:rPr>
          <w:rFonts w:hint="eastAsia" w:ascii="仿宋_GB2312" w:hAnsi="仿宋_GB2312" w:eastAsia="仿宋_GB2312" w:cs="仿宋_GB2312"/>
          <w:kern w:val="0"/>
          <w:sz w:val="28"/>
          <w:szCs w:val="28"/>
          <w:highlight w:val="none"/>
          <w:u w:color="000000"/>
        </w:rPr>
        <w:t>合同经双方授权代表签署，甲乙双方加盖印章之后生效，双方履行完本合同全部义务后终止。</w:t>
      </w:r>
      <w:r>
        <w:rPr>
          <w:rFonts w:hint="eastAsia" w:ascii="仿宋_GB2312" w:hAnsi="仿宋_GB2312" w:eastAsia="仿宋_GB2312" w:cs="仿宋_GB2312"/>
          <w:b/>
          <w:bCs/>
          <w:kern w:val="0"/>
          <w:sz w:val="28"/>
          <w:szCs w:val="28"/>
          <w:highlight w:val="none"/>
          <w:u w:color="000000"/>
        </w:rPr>
        <w:t>注：当服务金额达到项目预算金额时，合同自动终止。</w:t>
      </w:r>
    </w:p>
    <w:p>
      <w:pPr>
        <w:pStyle w:val="3"/>
        <w:spacing w:after="0" w:line="360" w:lineRule="exact"/>
        <w:ind w:left="0" w:leftChars="0" w:firstLine="560" w:firstLineChars="200"/>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本合同一式     份，双方各执     份。</w:t>
      </w:r>
    </w:p>
    <w:p>
      <w:pPr>
        <w:pStyle w:val="3"/>
        <w:spacing w:after="0" w:line="360" w:lineRule="exact"/>
        <w:ind w:left="0" w:leftChars="0" w:firstLine="560" w:firstLineChars="200"/>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甲  方：                           乙  方：</w:t>
      </w:r>
    </w:p>
    <w:p>
      <w:pPr>
        <w:pStyle w:val="3"/>
        <w:spacing w:after="0" w:line="360" w:lineRule="exact"/>
        <w:ind w:left="0" w:leftChars="0" w:firstLine="560" w:firstLineChars="200"/>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名  称：（盖章）                   名  称：（盖章）</w:t>
      </w:r>
    </w:p>
    <w:p>
      <w:pPr>
        <w:pStyle w:val="3"/>
        <w:spacing w:after="0" w:line="360" w:lineRule="exact"/>
        <w:ind w:left="0" w:leftChars="0" w:firstLine="560" w:firstLineChars="200"/>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法定代表人（或委托代理人）：       法定代表人（或委托代理人）：</w:t>
      </w:r>
    </w:p>
    <w:p>
      <w:pPr>
        <w:pStyle w:val="3"/>
        <w:spacing w:after="0" w:line="360" w:lineRule="exact"/>
        <w:ind w:left="0" w:leftChars="0" w:firstLine="560" w:firstLineChars="200"/>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（签字）                        （签字）</w:t>
      </w:r>
    </w:p>
    <w:p>
      <w:pPr>
        <w:pStyle w:val="3"/>
        <w:spacing w:after="0" w:line="360" w:lineRule="exact"/>
        <w:ind w:left="0" w:leftChars="0" w:firstLine="560" w:firstLineChars="200"/>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地    址：                        地    址：</w:t>
      </w:r>
    </w:p>
    <w:p>
      <w:pPr>
        <w:pStyle w:val="3"/>
        <w:spacing w:after="0" w:line="360" w:lineRule="exact"/>
        <w:ind w:left="0" w:leftChars="0" w:firstLine="560" w:firstLineChars="200"/>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邮政编码：                        邮政编码：</w:t>
      </w:r>
    </w:p>
    <w:p>
      <w:pPr>
        <w:pStyle w:val="3"/>
        <w:spacing w:after="0" w:line="360" w:lineRule="exact"/>
        <w:ind w:left="0" w:leftChars="0" w:firstLine="560" w:firstLineChars="200"/>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电    话：                        电    话：</w:t>
      </w:r>
    </w:p>
    <w:p>
      <w:pPr>
        <w:pStyle w:val="3"/>
        <w:spacing w:after="0" w:line="360" w:lineRule="exact"/>
        <w:ind w:left="0" w:leftChars="0" w:firstLine="560" w:firstLineChars="200"/>
        <w:rPr>
          <w:rFonts w:ascii="仿宋_GB2312" w:hAnsi="仿宋_GB2312" w:eastAsia="仿宋_GB2312" w:cs="仿宋_GB2312"/>
          <w:kern w:val="0"/>
          <w:sz w:val="28"/>
          <w:szCs w:val="28"/>
          <w:highlight w:val="none"/>
          <w:u w:color="000000"/>
        </w:rPr>
      </w:pPr>
      <w:r>
        <w:rPr>
          <w:rFonts w:hint="eastAsia" w:ascii="仿宋_GB2312" w:hAnsi="仿宋_GB2312" w:eastAsia="仿宋_GB2312" w:cs="仿宋_GB2312"/>
          <w:kern w:val="0"/>
          <w:sz w:val="28"/>
          <w:szCs w:val="28"/>
          <w:highlight w:val="none"/>
          <w:u w:color="000000"/>
        </w:rPr>
        <w:t>开户银行：                        开户银行：</w:t>
      </w:r>
    </w:p>
    <w:p>
      <w:pPr>
        <w:pStyle w:val="3"/>
        <w:spacing w:after="0" w:line="360" w:lineRule="exact"/>
        <w:ind w:left="0" w:leftChars="0" w:firstLine="560"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kern w:val="0"/>
          <w:sz w:val="28"/>
          <w:szCs w:val="28"/>
          <w:highlight w:val="none"/>
          <w:u w:color="000000"/>
        </w:rPr>
        <w:t>帐    号：                        帐    号：</w:t>
      </w:r>
    </w:p>
    <w:p>
      <w:pPr>
        <w:pStyle w:val="3"/>
        <w:spacing w:after="0" w:line="400" w:lineRule="exact"/>
        <w:ind w:left="0" w:leftChars="0"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u w:color="000000"/>
        </w:rPr>
        <w:t>签订时间：                        签订期间：</w:t>
      </w:r>
    </w:p>
    <w:p>
      <w:pPr>
        <w:pageBreakBefore/>
        <w:spacing w:line="312" w:lineRule="auto"/>
        <w:ind w:firstLine="562"/>
        <w:jc w:val="center"/>
        <w:outlineLvl w:val="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第六章  投标文件格式</w:t>
      </w:r>
      <w:bookmarkEnd w:id="133"/>
      <w:bookmarkEnd w:id="134"/>
    </w:p>
    <w:p>
      <w:pPr>
        <w:jc w:val="right"/>
        <w:rPr>
          <w:rFonts w:ascii="仿宋_GB2312" w:hAnsi="仿宋_GB2312" w:eastAsia="仿宋_GB2312" w:cs="仿宋_GB2312"/>
          <w:sz w:val="28"/>
          <w:szCs w:val="28"/>
          <w:highlight w:val="none"/>
          <w:bdr w:val="single" w:color="000000" w:sz="4" w:space="0"/>
        </w:rPr>
      </w:pPr>
    </w:p>
    <w:p>
      <w:pPr>
        <w:spacing w:line="312" w:lineRule="auto"/>
        <w:jc w:val="right"/>
        <w:rPr>
          <w:rFonts w:ascii="仿宋_GB2312" w:hAnsi="仿宋_GB2312" w:eastAsia="仿宋_GB2312" w:cs="仿宋_GB2312"/>
          <w:sz w:val="28"/>
          <w:szCs w:val="28"/>
          <w:highlight w:val="none"/>
          <w:bdr w:val="single" w:color="000000" w:sz="4" w:space="0"/>
        </w:rPr>
      </w:pPr>
    </w:p>
    <w:p>
      <w:pPr>
        <w:spacing w:line="312" w:lineRule="auto"/>
        <w:jc w:val="center"/>
        <w:rPr>
          <w:rFonts w:ascii="仿宋_GB2312" w:hAnsi="仿宋_GB2312" w:eastAsia="仿宋_GB2312" w:cs="仿宋_GB2312"/>
          <w:sz w:val="28"/>
          <w:szCs w:val="28"/>
          <w:highlight w:val="none"/>
        </w:rPr>
      </w:pPr>
    </w:p>
    <w:p>
      <w:pPr>
        <w:spacing w:line="312" w:lineRule="auto"/>
        <w:rPr>
          <w:rFonts w:ascii="仿宋_GB2312" w:hAnsi="仿宋_GB2312" w:eastAsia="仿宋_GB2312" w:cs="仿宋_GB2312"/>
          <w:sz w:val="28"/>
          <w:szCs w:val="28"/>
          <w:highlight w:val="none"/>
        </w:rPr>
      </w:pPr>
    </w:p>
    <w:p>
      <w:pPr>
        <w:spacing w:line="312" w:lineRule="auto"/>
        <w:ind w:firstLine="562"/>
        <w:jc w:val="center"/>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资信证明文件</w:t>
      </w:r>
    </w:p>
    <w:p>
      <w:pPr>
        <w:spacing w:line="312" w:lineRule="auto"/>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（投标文件一）</w:t>
      </w:r>
    </w:p>
    <w:p>
      <w:pPr>
        <w:spacing w:line="312" w:lineRule="auto"/>
        <w:jc w:val="center"/>
        <w:rPr>
          <w:rFonts w:ascii="仿宋_GB2312" w:hAnsi="仿宋_GB2312" w:eastAsia="仿宋_GB2312" w:cs="仿宋_GB2312"/>
          <w:sz w:val="28"/>
          <w:szCs w:val="28"/>
          <w:highlight w:val="none"/>
        </w:rPr>
      </w:pPr>
    </w:p>
    <w:p>
      <w:pPr>
        <w:spacing w:line="312" w:lineRule="auto"/>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项目名称</w:t>
      </w:r>
    </w:p>
    <w:p>
      <w:pPr>
        <w:spacing w:line="312" w:lineRule="auto"/>
        <w:jc w:val="center"/>
        <w:rPr>
          <w:rFonts w:ascii="仿宋_GB2312" w:hAnsi="仿宋_GB2312" w:eastAsia="仿宋_GB2312" w:cs="仿宋_GB2312"/>
          <w:sz w:val="28"/>
          <w:szCs w:val="28"/>
          <w:highlight w:val="none"/>
        </w:rPr>
      </w:pPr>
    </w:p>
    <w:p>
      <w:pPr>
        <w:spacing w:line="312" w:lineRule="auto"/>
        <w:rPr>
          <w:rFonts w:ascii="仿宋_GB2312" w:hAnsi="仿宋_GB2312" w:eastAsia="仿宋_GB2312" w:cs="仿宋_GB2312"/>
          <w:sz w:val="28"/>
          <w:szCs w:val="28"/>
          <w:highlight w:val="none"/>
        </w:rPr>
      </w:pPr>
    </w:p>
    <w:p>
      <w:pPr>
        <w:spacing w:line="312" w:lineRule="auto"/>
        <w:rPr>
          <w:rFonts w:ascii="仿宋_GB2312" w:hAnsi="仿宋_GB2312" w:eastAsia="仿宋_GB2312" w:cs="仿宋_GB2312"/>
          <w:sz w:val="28"/>
          <w:szCs w:val="28"/>
          <w:highlight w:val="none"/>
        </w:rPr>
      </w:pPr>
    </w:p>
    <w:p>
      <w:pPr>
        <w:spacing w:line="312" w:lineRule="auto"/>
        <w:rPr>
          <w:rFonts w:ascii="仿宋_GB2312" w:hAnsi="仿宋_GB2312" w:eastAsia="仿宋_GB2312" w:cs="仿宋_GB2312"/>
          <w:sz w:val="28"/>
          <w:szCs w:val="28"/>
          <w:highlight w:val="none"/>
        </w:rPr>
      </w:pPr>
    </w:p>
    <w:p>
      <w:pPr>
        <w:spacing w:line="312" w:lineRule="auto"/>
        <w:rPr>
          <w:rFonts w:ascii="仿宋_GB2312" w:hAnsi="仿宋_GB2312" w:eastAsia="仿宋_GB2312" w:cs="仿宋_GB2312"/>
          <w:sz w:val="28"/>
          <w:szCs w:val="28"/>
          <w:highlight w:val="none"/>
        </w:rPr>
      </w:pPr>
    </w:p>
    <w:p>
      <w:pPr>
        <w:spacing w:line="312" w:lineRule="auto"/>
        <w:rPr>
          <w:rFonts w:ascii="仿宋_GB2312" w:hAnsi="仿宋_GB2312" w:eastAsia="仿宋_GB2312" w:cs="仿宋_GB2312"/>
          <w:sz w:val="28"/>
          <w:szCs w:val="28"/>
          <w:highlight w:val="none"/>
        </w:rPr>
      </w:pPr>
    </w:p>
    <w:p>
      <w:pPr>
        <w:spacing w:line="312" w:lineRule="auto"/>
        <w:rPr>
          <w:rFonts w:ascii="仿宋_GB2312" w:hAnsi="仿宋_GB2312" w:eastAsia="仿宋_GB2312" w:cs="仿宋_GB2312"/>
          <w:sz w:val="28"/>
          <w:szCs w:val="28"/>
          <w:highlight w:val="none"/>
        </w:rPr>
      </w:pPr>
    </w:p>
    <w:p>
      <w:pPr>
        <w:spacing w:line="312" w:lineRule="auto"/>
        <w:rPr>
          <w:rFonts w:ascii="仿宋_GB2312" w:hAnsi="仿宋_GB2312" w:eastAsia="仿宋_GB2312" w:cs="仿宋_GB2312"/>
          <w:sz w:val="28"/>
          <w:szCs w:val="28"/>
          <w:highlight w:val="none"/>
        </w:rPr>
      </w:pPr>
    </w:p>
    <w:p>
      <w:pPr>
        <w:spacing w:line="312" w:lineRule="auto"/>
        <w:rPr>
          <w:rFonts w:ascii="仿宋_GB2312" w:hAnsi="仿宋_GB2312" w:eastAsia="仿宋_GB2312" w:cs="仿宋_GB2312"/>
          <w:sz w:val="28"/>
          <w:szCs w:val="28"/>
          <w:highlight w:val="none"/>
        </w:rPr>
      </w:pPr>
    </w:p>
    <w:p>
      <w:pPr>
        <w:spacing w:line="312" w:lineRule="auto"/>
        <w:jc w:val="center"/>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投标人：（盖章）</w:t>
      </w:r>
    </w:p>
    <w:p>
      <w:pPr>
        <w:spacing w:line="312" w:lineRule="auto"/>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法定代表人或授权委托代理人：（签字或盖章）</w:t>
      </w:r>
    </w:p>
    <w:p>
      <w:pPr>
        <w:spacing w:line="312" w:lineRule="auto"/>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年月日</w:t>
      </w:r>
    </w:p>
    <w:p>
      <w:pPr>
        <w:spacing w:line="312" w:lineRule="auto"/>
        <w:ind w:firstLine="562"/>
        <w:rPr>
          <w:rFonts w:ascii="仿宋_GB2312" w:hAnsi="仿宋_GB2312" w:eastAsia="仿宋_GB2312" w:cs="仿宋_GB2312"/>
          <w:b/>
          <w:sz w:val="28"/>
          <w:szCs w:val="28"/>
          <w:highlight w:val="none"/>
        </w:rPr>
      </w:pPr>
    </w:p>
    <w:p>
      <w:pPr>
        <w:pStyle w:val="6"/>
        <w:numPr>
          <w:ilvl w:val="1"/>
          <w:numId w:val="0"/>
        </w:numPr>
        <w:ind w:left="431"/>
        <w:rPr>
          <w:rFonts w:ascii="仿宋_GB2312" w:hAnsi="仿宋_GB2312" w:eastAsia="仿宋_GB2312" w:cs="仿宋_GB2312"/>
          <w:sz w:val="28"/>
          <w:szCs w:val="28"/>
          <w:highlight w:val="none"/>
        </w:rPr>
      </w:pPr>
    </w:p>
    <w:p>
      <w:pPr>
        <w:spacing w:line="312" w:lineRule="auto"/>
        <w:ind w:firstLine="562"/>
        <w:jc w:val="center"/>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目录</w:t>
      </w:r>
    </w:p>
    <w:p>
      <w:pPr>
        <w:spacing w:line="360" w:lineRule="auto"/>
        <w:ind w:firstLine="56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（1）法定代表人身份证明及其有效身份证复印件（或法定代表人授权委托书及其有效身份证复印件）（格式见附件）；</w:t>
      </w:r>
    </w:p>
    <w:p>
      <w:pPr>
        <w:spacing w:line="360" w:lineRule="auto"/>
        <w:ind w:firstLine="56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（2）投标人有效的营业执照、税务登记证、组织机构代码证（或三合一证书）；</w:t>
      </w:r>
    </w:p>
    <w:p>
      <w:pPr>
        <w:spacing w:line="360" w:lineRule="auto"/>
        <w:ind w:firstLine="56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sz w:val="28"/>
          <w:szCs w:val="28"/>
          <w:highlight w:val="none"/>
        </w:rPr>
        <w:t>（3）</w:t>
      </w:r>
      <w:r>
        <w:rPr>
          <w:rFonts w:hint="eastAsia" w:ascii="仿宋_GB2312" w:hAnsi="仿宋_GB2312" w:eastAsia="仿宋_GB2312" w:cs="仿宋_GB2312"/>
          <w:color w:val="000000"/>
          <w:sz w:val="28"/>
          <w:szCs w:val="28"/>
          <w:highlight w:val="none"/>
        </w:rPr>
        <w:t>诚信投标承诺书（格式见附件）；</w:t>
      </w:r>
    </w:p>
    <w:p>
      <w:pPr>
        <w:spacing w:line="360" w:lineRule="auto"/>
        <w:ind w:firstLine="56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（4）服务承诺书（格式见附件）；</w:t>
      </w:r>
    </w:p>
    <w:p>
      <w:pPr>
        <w:spacing w:line="360" w:lineRule="auto"/>
        <w:ind w:firstLine="56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（5）投标人认为需要提供的其他材料。</w:t>
      </w:r>
    </w:p>
    <w:p>
      <w:pPr>
        <w:spacing w:line="400" w:lineRule="exact"/>
        <w:ind w:firstLine="562"/>
        <w:rPr>
          <w:rFonts w:ascii="仿宋_GB2312" w:hAnsi="仿宋_GB2312" w:eastAsia="仿宋_GB2312" w:cs="仿宋_GB2312"/>
          <w:b/>
          <w:color w:val="000000"/>
          <w:sz w:val="28"/>
          <w:szCs w:val="28"/>
          <w:highlight w:val="none"/>
        </w:rPr>
      </w:pPr>
    </w:p>
    <w:p>
      <w:pPr>
        <w:spacing w:line="312" w:lineRule="auto"/>
        <w:ind w:firstLine="560" w:firstLineChars="200"/>
        <w:rPr>
          <w:rFonts w:ascii="仿宋_GB2312" w:hAnsi="仿宋_GB2312" w:eastAsia="仿宋_GB2312" w:cs="仿宋_GB2312"/>
          <w:sz w:val="28"/>
          <w:szCs w:val="28"/>
          <w:highlight w:val="none"/>
        </w:rPr>
      </w:pPr>
    </w:p>
    <w:p>
      <w:pPr>
        <w:spacing w:line="312" w:lineRule="auto"/>
        <w:ind w:firstLine="420" w:firstLineChars="150"/>
        <w:rPr>
          <w:rFonts w:ascii="仿宋_GB2312" w:hAnsi="仿宋_GB2312" w:eastAsia="仿宋_GB2312" w:cs="仿宋_GB2312"/>
          <w:sz w:val="28"/>
          <w:szCs w:val="28"/>
          <w:highlight w:val="none"/>
        </w:rPr>
      </w:pPr>
    </w:p>
    <w:p>
      <w:pPr>
        <w:spacing w:line="312" w:lineRule="auto"/>
        <w:ind w:firstLine="562" w:firstLineChars="200"/>
        <w:rPr>
          <w:rFonts w:ascii="仿宋_GB2312" w:hAnsi="仿宋_GB2312" w:eastAsia="仿宋_GB2312" w:cs="仿宋_GB2312"/>
          <w:b/>
          <w:sz w:val="28"/>
          <w:szCs w:val="28"/>
          <w:highlight w:val="none"/>
        </w:rPr>
      </w:pPr>
    </w:p>
    <w:p>
      <w:pPr>
        <w:spacing w:line="312" w:lineRule="auto"/>
        <w:ind w:firstLine="562"/>
        <w:rPr>
          <w:rFonts w:ascii="仿宋_GB2312" w:hAnsi="仿宋_GB2312" w:eastAsia="仿宋_GB2312" w:cs="仿宋_GB2312"/>
          <w:b/>
          <w:sz w:val="28"/>
          <w:szCs w:val="28"/>
          <w:highlight w:val="none"/>
        </w:rPr>
        <w:sectPr>
          <w:pgSz w:w="11906" w:h="16838"/>
          <w:pgMar w:top="1440" w:right="1800" w:bottom="1440" w:left="1800" w:header="851" w:footer="992" w:gutter="0"/>
          <w:cols w:space="720" w:num="1"/>
          <w:docGrid w:type="lines" w:linePitch="312" w:charSpace="0"/>
        </w:sectPr>
      </w:pPr>
    </w:p>
    <w:p>
      <w:pPr>
        <w:spacing w:line="360" w:lineRule="auto"/>
        <w:ind w:firstLine="562"/>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附件1</w:t>
      </w:r>
    </w:p>
    <w:p>
      <w:pPr>
        <w:spacing w:line="360" w:lineRule="auto"/>
        <w:ind w:left="720" w:firstLine="562"/>
        <w:jc w:val="center"/>
        <w:rPr>
          <w:rFonts w:ascii="仿宋_GB2312" w:hAnsi="仿宋_GB2312" w:eastAsia="仿宋_GB2312" w:cs="仿宋_GB2312"/>
          <w:b/>
          <w:color w:val="000000"/>
          <w:sz w:val="28"/>
          <w:szCs w:val="28"/>
          <w:highlight w:val="none"/>
        </w:rPr>
      </w:pPr>
      <w:r>
        <w:rPr>
          <w:rFonts w:hint="eastAsia" w:ascii="仿宋_GB2312" w:hAnsi="仿宋_GB2312" w:eastAsia="仿宋_GB2312" w:cs="仿宋_GB2312"/>
          <w:b/>
          <w:color w:val="000000"/>
          <w:sz w:val="28"/>
          <w:szCs w:val="28"/>
          <w:highlight w:val="none"/>
        </w:rPr>
        <w:t>法定代表人身份证明或授权委托书</w:t>
      </w:r>
    </w:p>
    <w:p>
      <w:pPr>
        <w:pStyle w:val="86"/>
        <w:spacing w:beforeLines="100" w:afterLines="100" w:line="480" w:lineRule="exact"/>
        <w:ind w:firstLine="210" w:firstLineChars="75"/>
        <w:rPr>
          <w:rFonts w:ascii="仿宋_GB2312" w:hAnsi="仿宋_GB2312" w:eastAsia="仿宋_GB2312" w:cs="仿宋_GB2312"/>
          <w:b/>
          <w:szCs w:val="28"/>
          <w:highlight w:val="none"/>
        </w:rPr>
      </w:pPr>
      <w:r>
        <w:rPr>
          <w:rFonts w:hint="eastAsia" w:ascii="仿宋_GB2312" w:hAnsi="仿宋_GB2312" w:eastAsia="仿宋_GB2312" w:cs="仿宋_GB2312"/>
          <w:szCs w:val="28"/>
          <w:highlight w:val="none"/>
        </w:rPr>
        <w:t>1.法定代表人身份证明</w:t>
      </w:r>
    </w:p>
    <w:p>
      <w:pPr>
        <w:spacing w:line="360" w:lineRule="exact"/>
        <w:ind w:firstLine="56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投标人名称：</w:t>
      </w:r>
    </w:p>
    <w:p>
      <w:pPr>
        <w:spacing w:line="360" w:lineRule="exact"/>
        <w:ind w:firstLine="56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单位性质： </w:t>
      </w:r>
    </w:p>
    <w:p>
      <w:pPr>
        <w:spacing w:line="360" w:lineRule="exact"/>
        <w:ind w:firstLine="56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地    址：</w:t>
      </w:r>
    </w:p>
    <w:p>
      <w:pPr>
        <w:spacing w:line="360" w:lineRule="exact"/>
        <w:ind w:firstLine="56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成立时间：年月日</w:t>
      </w:r>
    </w:p>
    <w:p>
      <w:pPr>
        <w:spacing w:line="360" w:lineRule="exact"/>
        <w:ind w:firstLine="56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经营期限：</w:t>
      </w:r>
    </w:p>
    <w:p>
      <w:pPr>
        <w:spacing w:line="360" w:lineRule="exact"/>
        <w:ind w:firstLine="152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pacing w:val="240"/>
          <w:sz w:val="28"/>
          <w:szCs w:val="28"/>
          <w:highlight w:val="none"/>
        </w:rPr>
        <w:t>姓</w:t>
      </w:r>
      <w:r>
        <w:rPr>
          <w:rFonts w:hint="eastAsia" w:ascii="仿宋_GB2312" w:hAnsi="仿宋_GB2312" w:eastAsia="仿宋_GB2312" w:cs="仿宋_GB2312"/>
          <w:color w:val="000000"/>
          <w:sz w:val="28"/>
          <w:szCs w:val="28"/>
          <w:highlight w:val="none"/>
        </w:rPr>
        <w:t>名：性别：年龄：＿职务：_</w:t>
      </w:r>
    </w:p>
    <w:p>
      <w:pPr>
        <w:spacing w:line="360" w:lineRule="exact"/>
        <w:ind w:firstLine="560" w:firstLineChars="2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系（投标人名称）的法定代表人。</w:t>
      </w:r>
    </w:p>
    <w:p>
      <w:pPr>
        <w:spacing w:line="480" w:lineRule="exact"/>
        <w:ind w:firstLine="1120" w:firstLineChars="40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特此证明。</w:t>
      </w:r>
    </w:p>
    <w:p>
      <w:pPr>
        <w:pStyle w:val="2"/>
        <w:ind w:left="0" w:leftChars="0" w:firstLine="0" w:firstLineChars="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附：法定代表人身份证原件彩色扫描件</w:t>
      </w:r>
    </w:p>
    <w:p>
      <w:pPr>
        <w:spacing w:line="360" w:lineRule="auto"/>
        <w:ind w:firstLine="4060" w:firstLineChars="1450"/>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投标人：（盖单位章）</w:t>
      </w:r>
    </w:p>
    <w:p>
      <w:pPr>
        <w:wordWrap w:val="0"/>
        <w:spacing w:line="360" w:lineRule="auto"/>
        <w:jc w:val="right"/>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年 月日  </w:t>
      </w:r>
    </w:p>
    <w:p>
      <w:pPr>
        <w:pStyle w:val="2"/>
        <w:ind w:firstLine="560"/>
        <w:rPr>
          <w:rFonts w:ascii="仿宋_GB2312" w:hAnsi="仿宋_GB2312" w:eastAsia="仿宋_GB2312" w:cs="仿宋_GB2312"/>
          <w:color w:val="000000"/>
          <w:sz w:val="28"/>
          <w:szCs w:val="28"/>
          <w:highlight w:val="none"/>
        </w:rPr>
      </w:pPr>
    </w:p>
    <w:p>
      <w:pPr>
        <w:rPr>
          <w:rFonts w:ascii="仿宋_GB2312" w:hAnsi="仿宋_GB2312" w:eastAsia="仿宋_GB2312" w:cs="仿宋_GB2312"/>
          <w:color w:val="000000"/>
          <w:sz w:val="28"/>
          <w:szCs w:val="28"/>
        </w:rPr>
      </w:pPr>
    </w:p>
    <w:p>
      <w:pPr>
        <w:pStyle w:val="2"/>
        <w:ind w:firstLine="560"/>
        <w:rPr>
          <w:rFonts w:ascii="仿宋_GB2312" w:hAnsi="仿宋_GB2312" w:eastAsia="仿宋_GB2312" w:cs="仿宋_GB2312"/>
          <w:color w:val="000000"/>
          <w:sz w:val="28"/>
          <w:szCs w:val="28"/>
        </w:rPr>
      </w:pPr>
    </w:p>
    <w:p>
      <w:pPr>
        <w:rPr>
          <w:rFonts w:ascii="仿宋_GB2312" w:hAnsi="仿宋_GB2312" w:eastAsia="仿宋_GB2312" w:cs="仿宋_GB2312"/>
          <w:color w:val="000000"/>
          <w:sz w:val="28"/>
          <w:szCs w:val="28"/>
        </w:rPr>
      </w:pPr>
    </w:p>
    <w:p>
      <w:pPr>
        <w:pStyle w:val="2"/>
        <w:ind w:firstLine="560"/>
        <w:rPr>
          <w:rFonts w:ascii="仿宋_GB2312" w:hAnsi="仿宋_GB2312" w:eastAsia="仿宋_GB2312" w:cs="仿宋_GB2312"/>
          <w:color w:val="000000"/>
          <w:sz w:val="28"/>
          <w:szCs w:val="28"/>
        </w:rPr>
      </w:pPr>
    </w:p>
    <w:p>
      <w:pPr>
        <w:rPr>
          <w:rFonts w:ascii="仿宋_GB2312" w:hAnsi="仿宋_GB2312" w:eastAsia="仿宋_GB2312" w:cs="仿宋_GB2312"/>
          <w:color w:val="000000"/>
          <w:sz w:val="28"/>
          <w:szCs w:val="28"/>
        </w:rPr>
      </w:pPr>
    </w:p>
    <w:p>
      <w:pPr>
        <w:pStyle w:val="2"/>
        <w:ind w:firstLine="560"/>
        <w:rPr>
          <w:rFonts w:ascii="仿宋_GB2312" w:hAnsi="仿宋_GB2312" w:eastAsia="仿宋_GB2312" w:cs="仿宋_GB2312"/>
          <w:color w:val="000000"/>
          <w:sz w:val="28"/>
          <w:szCs w:val="28"/>
        </w:rPr>
      </w:pPr>
    </w:p>
    <w:p>
      <w:pPr>
        <w:rPr>
          <w:rFonts w:ascii="仿宋_GB2312" w:hAnsi="仿宋_GB2312" w:eastAsia="仿宋_GB2312" w:cs="仿宋_GB2312"/>
          <w:color w:val="000000"/>
          <w:sz w:val="28"/>
          <w:szCs w:val="28"/>
        </w:rPr>
      </w:pPr>
    </w:p>
    <w:p>
      <w:pPr>
        <w:pStyle w:val="2"/>
        <w:ind w:firstLine="560"/>
        <w:rPr>
          <w:rFonts w:ascii="仿宋_GB2312" w:hAnsi="仿宋_GB2312" w:eastAsia="仿宋_GB2312" w:cs="仿宋_GB2312"/>
          <w:color w:val="000000"/>
          <w:sz w:val="28"/>
          <w:szCs w:val="28"/>
        </w:rPr>
      </w:pPr>
    </w:p>
    <w:p>
      <w:pPr>
        <w:ind w:firstLine="560"/>
      </w:pPr>
    </w:p>
    <w:p>
      <w:pPr>
        <w:spacing w:beforeLines="100" w:afterLines="100" w:line="480" w:lineRule="exact"/>
        <w:ind w:firstLine="3654" w:firstLineChars="1305"/>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2.授权委托书</w:t>
      </w:r>
    </w:p>
    <w:p>
      <w:pPr>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w:t>
      </w:r>
      <w:r>
        <w:rPr>
          <w:rFonts w:hint="eastAsia" w:ascii="仿宋_GB2312" w:hAnsi="仿宋_GB2312" w:eastAsia="仿宋_GB2312" w:cs="仿宋_GB2312"/>
          <w:color w:val="000000"/>
          <w:sz w:val="28"/>
          <w:szCs w:val="28"/>
          <w:u w:val="single"/>
        </w:rPr>
        <w:t xml:space="preserve"> （姓名）</w:t>
      </w:r>
      <w:r>
        <w:rPr>
          <w:rFonts w:hint="eastAsia" w:ascii="仿宋_GB2312" w:hAnsi="仿宋_GB2312" w:eastAsia="仿宋_GB2312" w:cs="仿宋_GB2312"/>
          <w:color w:val="000000"/>
          <w:sz w:val="28"/>
          <w:szCs w:val="28"/>
        </w:rPr>
        <w:t>系</w:t>
      </w:r>
      <w:r>
        <w:rPr>
          <w:rFonts w:hint="eastAsia" w:ascii="仿宋_GB2312" w:hAnsi="仿宋_GB2312" w:eastAsia="仿宋_GB2312" w:cs="仿宋_GB2312"/>
          <w:color w:val="000000"/>
          <w:sz w:val="28"/>
          <w:szCs w:val="28"/>
          <w:u w:val="single"/>
        </w:rPr>
        <w:t>（投标人）</w:t>
      </w:r>
      <w:r>
        <w:rPr>
          <w:rFonts w:hint="eastAsia" w:ascii="仿宋_GB2312" w:hAnsi="仿宋_GB2312" w:eastAsia="仿宋_GB2312" w:cs="仿宋_GB2312"/>
          <w:color w:val="000000"/>
          <w:sz w:val="28"/>
          <w:szCs w:val="28"/>
        </w:rPr>
        <w:t>的法定代表人，现委托</w:t>
      </w:r>
      <w:r>
        <w:rPr>
          <w:rFonts w:hint="eastAsia" w:ascii="仿宋_GB2312" w:hAnsi="仿宋_GB2312" w:eastAsia="仿宋_GB2312" w:cs="仿宋_GB2312"/>
          <w:color w:val="000000"/>
          <w:sz w:val="28"/>
          <w:szCs w:val="28"/>
          <w:u w:val="single"/>
        </w:rPr>
        <w:t>（姓名）</w:t>
      </w:r>
      <w:r>
        <w:rPr>
          <w:rFonts w:hint="eastAsia" w:ascii="仿宋_GB2312" w:hAnsi="仿宋_GB2312" w:eastAsia="仿宋_GB2312" w:cs="仿宋_GB2312"/>
          <w:color w:val="000000"/>
          <w:sz w:val="28"/>
          <w:szCs w:val="28"/>
        </w:rPr>
        <w:t>为我方代理人。代理人根据授权，以我方名义签署、澄清、说明、补正、递交、撤回、修改 “</w:t>
      </w:r>
      <w:r>
        <w:rPr>
          <w:rFonts w:hint="eastAsia" w:ascii="仿宋_GB2312" w:hAnsi="仿宋_GB2312" w:eastAsia="仿宋_GB2312" w:cs="仿宋_GB2312"/>
          <w:color w:val="000000"/>
          <w:sz w:val="28"/>
          <w:szCs w:val="28"/>
          <w:u w:val="single"/>
        </w:rPr>
        <w:t>(项目名称、编号）”</w:t>
      </w:r>
      <w:r>
        <w:rPr>
          <w:rFonts w:hint="eastAsia" w:ascii="仿宋_GB2312" w:hAnsi="仿宋_GB2312" w:eastAsia="仿宋_GB2312" w:cs="仿宋_GB2312"/>
          <w:color w:val="000000"/>
          <w:sz w:val="28"/>
          <w:szCs w:val="28"/>
        </w:rPr>
        <w:t>招标文件，全权处理与该项目投标、评审答疑、签订合同以及与合同执行有关的一切事务，其法律后果由我方承担。</w:t>
      </w:r>
    </w:p>
    <w:p>
      <w:pPr>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委托期限：                                </w:t>
      </w:r>
    </w:p>
    <w:p>
      <w:pPr>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代理人无转委托权。</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附：委托代理人身份证原件彩色扫描件</w:t>
      </w:r>
    </w:p>
    <w:p>
      <w:pPr>
        <w:pStyle w:val="16"/>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法定代表人身份证原件彩色扫描件</w:t>
      </w:r>
    </w:p>
    <w:p>
      <w:pPr>
        <w:spacing w:line="48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投标人：       （盖单位章）</w:t>
      </w:r>
    </w:p>
    <w:p>
      <w:pPr>
        <w:spacing w:line="480" w:lineRule="exact"/>
        <w:ind w:firstLine="2660" w:firstLineChars="9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法定代表人（身份证号码）：   （签字或盖章）</w:t>
      </w:r>
    </w:p>
    <w:p>
      <w:pPr>
        <w:spacing w:line="480" w:lineRule="exact"/>
        <w:ind w:firstLine="3290" w:firstLineChars="1175"/>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p>
      <w:pPr>
        <w:spacing w:line="360" w:lineRule="exact"/>
        <w:ind w:firstLine="413" w:firstLineChars="147"/>
        <w:rPr>
          <w:rFonts w:ascii="仿宋_GB2312" w:hAnsi="仿宋_GB2312" w:eastAsia="仿宋_GB2312" w:cs="仿宋_GB2312"/>
          <w:b/>
          <w:color w:val="000000"/>
          <w:sz w:val="28"/>
          <w:szCs w:val="28"/>
          <w:u w:val="single"/>
        </w:rPr>
      </w:pPr>
    </w:p>
    <w:p>
      <w:pPr>
        <w:pStyle w:val="2"/>
        <w:ind w:firstLine="562"/>
        <w:rPr>
          <w:rFonts w:ascii="仿宋_GB2312" w:hAnsi="仿宋_GB2312" w:eastAsia="仿宋_GB2312" w:cs="仿宋_GB2312"/>
          <w:b/>
          <w:color w:val="000000"/>
          <w:sz w:val="28"/>
          <w:szCs w:val="28"/>
          <w:u w:val="single"/>
        </w:rPr>
      </w:pPr>
    </w:p>
    <w:p>
      <w:pPr>
        <w:ind w:firstLine="562"/>
        <w:rPr>
          <w:rFonts w:ascii="仿宋_GB2312" w:hAnsi="仿宋_GB2312" w:eastAsia="仿宋_GB2312" w:cs="仿宋_GB2312"/>
          <w:b/>
          <w:color w:val="000000"/>
          <w:sz w:val="28"/>
          <w:szCs w:val="28"/>
          <w:u w:val="single"/>
        </w:rPr>
      </w:pPr>
    </w:p>
    <w:p>
      <w:pPr>
        <w:pStyle w:val="2"/>
        <w:ind w:firstLine="562"/>
        <w:rPr>
          <w:rFonts w:ascii="仿宋_GB2312" w:hAnsi="仿宋_GB2312" w:eastAsia="仿宋_GB2312" w:cs="仿宋_GB2312"/>
          <w:b/>
          <w:color w:val="000000"/>
          <w:sz w:val="28"/>
          <w:szCs w:val="28"/>
          <w:u w:val="single"/>
        </w:rPr>
      </w:pPr>
    </w:p>
    <w:p>
      <w:pPr>
        <w:ind w:firstLine="562"/>
        <w:rPr>
          <w:rFonts w:ascii="仿宋_GB2312" w:hAnsi="仿宋_GB2312" w:eastAsia="仿宋_GB2312" w:cs="仿宋_GB2312"/>
          <w:b/>
          <w:color w:val="000000"/>
          <w:sz w:val="28"/>
          <w:szCs w:val="28"/>
          <w:u w:val="single"/>
        </w:rPr>
      </w:pPr>
    </w:p>
    <w:p>
      <w:pPr>
        <w:pStyle w:val="2"/>
        <w:ind w:firstLine="562"/>
        <w:rPr>
          <w:rFonts w:ascii="仿宋_GB2312" w:hAnsi="仿宋_GB2312" w:eastAsia="仿宋_GB2312" w:cs="仿宋_GB2312"/>
          <w:b/>
          <w:color w:val="000000"/>
          <w:sz w:val="28"/>
          <w:szCs w:val="28"/>
          <w:u w:val="single"/>
        </w:rPr>
      </w:pPr>
    </w:p>
    <w:p>
      <w:pPr>
        <w:ind w:firstLine="562"/>
        <w:rPr>
          <w:rFonts w:ascii="仿宋_GB2312" w:hAnsi="仿宋_GB2312" w:eastAsia="仿宋_GB2312" w:cs="仿宋_GB2312"/>
          <w:b/>
          <w:color w:val="000000"/>
          <w:sz w:val="28"/>
          <w:szCs w:val="28"/>
          <w:u w:val="single"/>
        </w:rPr>
      </w:pPr>
    </w:p>
    <w:p>
      <w:pPr>
        <w:pStyle w:val="2"/>
        <w:ind w:firstLine="562"/>
        <w:rPr>
          <w:rFonts w:ascii="仿宋_GB2312" w:hAnsi="仿宋_GB2312" w:eastAsia="仿宋_GB2312" w:cs="仿宋_GB2312"/>
          <w:b/>
          <w:color w:val="000000"/>
          <w:sz w:val="28"/>
          <w:szCs w:val="28"/>
          <w:u w:val="single"/>
        </w:rPr>
      </w:pPr>
    </w:p>
    <w:p>
      <w:pPr>
        <w:ind w:firstLine="562"/>
        <w:rPr>
          <w:rFonts w:ascii="仿宋_GB2312" w:hAnsi="仿宋_GB2312" w:eastAsia="仿宋_GB2312" w:cs="仿宋_GB2312"/>
          <w:b/>
          <w:color w:val="000000"/>
          <w:sz w:val="28"/>
          <w:szCs w:val="28"/>
          <w:u w:val="single"/>
        </w:rPr>
      </w:pPr>
    </w:p>
    <w:p>
      <w:pPr>
        <w:pStyle w:val="2"/>
      </w:pPr>
    </w:p>
    <w:p>
      <w:pPr>
        <w:pStyle w:val="2"/>
        <w:ind w:left="0" w:leftChars="0" w:firstLine="0" w:firstLineChars="0"/>
      </w:pPr>
    </w:p>
    <w:p>
      <w:pPr>
        <w:spacing w:line="360" w:lineRule="exact"/>
        <w:ind w:firstLine="413" w:firstLineChars="147"/>
        <w:rPr>
          <w:rFonts w:ascii="仿宋_GB2312" w:hAnsi="仿宋_GB2312" w:eastAsia="仿宋_GB2312" w:cs="仿宋_GB2312"/>
          <w:b/>
          <w:color w:val="000000"/>
          <w:sz w:val="28"/>
          <w:szCs w:val="28"/>
          <w:u w:val="single"/>
        </w:rPr>
      </w:pPr>
    </w:p>
    <w:p>
      <w:pPr>
        <w:spacing w:line="360" w:lineRule="exact"/>
        <w:ind w:firstLine="413" w:firstLineChars="147"/>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附件2             诚信投标承诺书 </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本人以企业法定代表人的身份郑重承诺：</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一、将遵循公开、公正和诚实信用的原则自愿参加项目的投标，所提供的一切材料都是真实、有效、合法的；</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三、不出借、转让资质证书，不让他人挂靠投标，不以他人名义投标或者以其他方式弄虚作假，骗取中标；</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四、不与其他投标人相互串通投标报价，不排挤其他投标人的公平竞争、损害招标人的合法权益；</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五、不与招标人、招标代理机构或其他投标人串通投标，损害国家利益、社会公共利益或者他人的合法权益；</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七、严格遵守开标现场纪律，服从监管人员管理；</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八、保证中标后不转包，若有分包征得招标人同意；</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九、保证中标之后，按照投标文件要求提供相关后续服务；</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十、保证企业及所属相关人员在本次投标中无行贿等犯罪行为；</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开户银行：                          基本账户：</w:t>
      </w:r>
    </w:p>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投标单位（盖单位章）：          法定代表人（签字或盖章）：</w:t>
      </w:r>
    </w:p>
    <w:p>
      <w:pPr>
        <w:spacing w:line="300" w:lineRule="exact"/>
        <w:ind w:firstLine="560" w:firstLineChars="200"/>
        <w:rPr>
          <w:rFonts w:ascii="仿宋_GB2312" w:hAnsi="仿宋_GB2312" w:eastAsia="仿宋_GB2312" w:cs="仿宋_GB2312"/>
          <w:color w:val="000000"/>
          <w:sz w:val="28"/>
          <w:szCs w:val="28"/>
        </w:rPr>
      </w:pPr>
    </w:p>
    <w:p>
      <w:pPr>
        <w:spacing w:line="300" w:lineRule="exact"/>
        <w:jc w:val="righ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日期：年月日</w:t>
      </w:r>
    </w:p>
    <w:p>
      <w:pPr>
        <w:spacing w:line="360" w:lineRule="exact"/>
        <w:ind w:firstLine="562"/>
        <w:rPr>
          <w:rFonts w:ascii="仿宋_GB2312" w:hAnsi="仿宋_GB2312" w:eastAsia="仿宋_GB2312" w:cs="仿宋_GB2312"/>
          <w:b/>
          <w:color w:val="000000"/>
          <w:sz w:val="28"/>
          <w:szCs w:val="28"/>
        </w:rPr>
      </w:pPr>
    </w:p>
    <w:p>
      <w:pPr>
        <w:spacing w:line="360" w:lineRule="exact"/>
        <w:ind w:firstLine="413" w:firstLineChars="147"/>
        <w:rPr>
          <w:rFonts w:ascii="仿宋_GB2312" w:hAnsi="仿宋_GB2312" w:eastAsia="仿宋_GB2312" w:cs="仿宋_GB2312"/>
          <w:b/>
          <w:color w:val="000000"/>
          <w:sz w:val="28"/>
          <w:szCs w:val="28"/>
        </w:rPr>
      </w:pPr>
    </w:p>
    <w:p>
      <w:pPr>
        <w:spacing w:line="360" w:lineRule="exact"/>
        <w:ind w:firstLine="413" w:firstLineChars="147"/>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附件4</w:t>
      </w:r>
    </w:p>
    <w:p>
      <w:pPr>
        <w:pStyle w:val="2"/>
        <w:ind w:left="0" w:leftChars="0" w:firstLine="0" w:firstLineChars="0"/>
        <w:rPr>
          <w:rFonts w:ascii="仿宋_GB2312" w:hAnsi="仿宋_GB2312" w:eastAsia="仿宋_GB2312" w:cs="仿宋_GB2312"/>
          <w:sz w:val="28"/>
          <w:szCs w:val="28"/>
        </w:rPr>
      </w:pPr>
    </w:p>
    <w:p>
      <w:pPr>
        <w:rPr>
          <w:rFonts w:ascii="仿宋_GB2312" w:hAnsi="仿宋_GB2312" w:eastAsia="仿宋_GB2312" w:cs="仿宋_GB2312"/>
          <w:sz w:val="28"/>
          <w:szCs w:val="28"/>
        </w:rPr>
      </w:pPr>
    </w:p>
    <w:p>
      <w:pPr>
        <w:spacing w:line="312" w:lineRule="auto"/>
        <w:ind w:firstLine="562"/>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服务承诺书</w:t>
      </w:r>
    </w:p>
    <w:p>
      <w:pPr>
        <w:spacing w:line="312" w:lineRule="auto"/>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rPr>
        <w:t>致：</w:t>
      </w:r>
      <w:r>
        <w:rPr>
          <w:rFonts w:hint="eastAsia" w:ascii="仿宋_GB2312" w:hAnsi="仿宋_GB2312" w:eastAsia="仿宋_GB2312" w:cs="仿宋_GB2312"/>
          <w:sz w:val="28"/>
          <w:szCs w:val="28"/>
          <w:u w:val="single"/>
        </w:rPr>
        <w:t xml:space="preserve">          （招标人）：</w:t>
      </w:r>
    </w:p>
    <w:p>
      <w:pPr>
        <w:spacing w:line="8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本承诺声明：</w:t>
      </w:r>
      <w:r>
        <w:rPr>
          <w:rFonts w:hint="eastAsia" w:ascii="仿宋_GB2312" w:hAnsi="仿宋_GB2312" w:eastAsia="仿宋_GB2312" w:cs="仿宋_GB2312"/>
          <w:sz w:val="28"/>
          <w:szCs w:val="28"/>
          <w:u w:val="single"/>
        </w:rPr>
        <w:t>（投标人名称）</w:t>
      </w:r>
      <w:r>
        <w:rPr>
          <w:rFonts w:hint="eastAsia" w:ascii="仿宋_GB2312" w:hAnsi="仿宋_GB2312" w:eastAsia="仿宋_GB2312" w:cs="仿宋_GB2312"/>
          <w:sz w:val="28"/>
          <w:szCs w:val="28"/>
        </w:rPr>
        <w:t>对本招标文件的相关要求完全响应。若有幸中标将严格按照以上承诺进行服务。</w:t>
      </w:r>
    </w:p>
    <w:p>
      <w:pPr>
        <w:spacing w:line="312" w:lineRule="auto"/>
        <w:ind w:firstLine="560" w:firstLineChars="200"/>
        <w:rPr>
          <w:rFonts w:ascii="仿宋_GB2312" w:hAnsi="仿宋_GB2312" w:eastAsia="仿宋_GB2312" w:cs="仿宋_GB2312"/>
          <w:sz w:val="28"/>
          <w:szCs w:val="28"/>
        </w:rPr>
      </w:pPr>
    </w:p>
    <w:p>
      <w:pPr>
        <w:spacing w:line="312" w:lineRule="auto"/>
        <w:rPr>
          <w:rFonts w:ascii="仿宋_GB2312" w:hAnsi="仿宋_GB2312" w:eastAsia="仿宋_GB2312" w:cs="仿宋_GB2312"/>
          <w:sz w:val="28"/>
          <w:szCs w:val="28"/>
        </w:rPr>
      </w:pPr>
    </w:p>
    <w:p>
      <w:pPr>
        <w:spacing w:line="312"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特此声明</w:t>
      </w:r>
    </w:p>
    <w:p>
      <w:pPr>
        <w:spacing w:line="312"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w:t>
      </w:r>
    </w:p>
    <w:p>
      <w:pPr>
        <w:spacing w:line="312"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法定代表人或委托代理人（签字或盖章）：</w:t>
      </w:r>
    </w:p>
    <w:p>
      <w:pPr>
        <w:spacing w:line="312"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w:t>
      </w:r>
    </w:p>
    <w:p>
      <w:pPr>
        <w:spacing w:line="312"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投标单位名称：</w:t>
      </w:r>
      <w:r>
        <w:rPr>
          <w:rFonts w:hint="eastAsia" w:ascii="仿宋_GB2312" w:hAnsi="仿宋_GB2312" w:eastAsia="仿宋_GB2312" w:cs="仿宋_GB2312"/>
          <w:sz w:val="28"/>
          <w:szCs w:val="28"/>
          <w:u w:val="single"/>
        </w:rPr>
        <w:t xml:space="preserve">        （盖章）       </w:t>
      </w:r>
    </w:p>
    <w:p>
      <w:pPr>
        <w:spacing w:line="312" w:lineRule="auto"/>
        <w:rPr>
          <w:rFonts w:ascii="仿宋_GB2312" w:hAnsi="仿宋_GB2312" w:eastAsia="仿宋_GB2312" w:cs="仿宋_GB2312"/>
          <w:sz w:val="28"/>
          <w:szCs w:val="28"/>
        </w:rPr>
      </w:pPr>
    </w:p>
    <w:p>
      <w:pPr>
        <w:spacing w:line="312" w:lineRule="auto"/>
        <w:ind w:firstLine="5460" w:firstLineChars="1950"/>
        <w:rPr>
          <w:rFonts w:ascii="仿宋_GB2312" w:hAnsi="仿宋_GB2312" w:eastAsia="仿宋_GB2312" w:cs="仿宋_GB2312"/>
          <w:b/>
          <w:sz w:val="28"/>
          <w:szCs w:val="28"/>
        </w:rPr>
      </w:pPr>
      <w:r>
        <w:rPr>
          <w:rFonts w:hint="eastAsia" w:ascii="仿宋_GB2312" w:hAnsi="仿宋_GB2312" w:eastAsia="仿宋_GB2312" w:cs="仿宋_GB2312"/>
          <w:sz w:val="28"/>
          <w:szCs w:val="28"/>
        </w:rPr>
        <w:t>日    期：</w:t>
      </w:r>
    </w:p>
    <w:p>
      <w:pPr>
        <w:spacing w:line="312" w:lineRule="auto"/>
        <w:ind w:firstLine="562"/>
        <w:rPr>
          <w:rFonts w:ascii="仿宋_GB2312" w:hAnsi="仿宋_GB2312" w:eastAsia="仿宋_GB2312" w:cs="仿宋_GB2312"/>
          <w:sz w:val="28"/>
          <w:szCs w:val="28"/>
        </w:rPr>
      </w:pPr>
      <w:r>
        <w:rPr>
          <w:rFonts w:hint="eastAsia" w:ascii="仿宋_GB2312" w:hAnsi="仿宋_GB2312" w:eastAsia="仿宋_GB2312" w:cs="仿宋_GB2312"/>
          <w:b/>
          <w:sz w:val="28"/>
          <w:szCs w:val="28"/>
        </w:rPr>
        <w:br w:type="page"/>
      </w:r>
    </w:p>
    <w:p>
      <w:pPr>
        <w:spacing w:line="312" w:lineRule="auto"/>
        <w:rPr>
          <w:rFonts w:ascii="仿宋_GB2312" w:hAnsi="仿宋_GB2312" w:eastAsia="仿宋_GB2312" w:cs="仿宋_GB2312"/>
          <w:sz w:val="28"/>
          <w:szCs w:val="28"/>
        </w:rPr>
      </w:pPr>
    </w:p>
    <w:p>
      <w:pPr>
        <w:spacing w:line="312" w:lineRule="auto"/>
        <w:ind w:firstLine="562"/>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商务标</w:t>
      </w:r>
    </w:p>
    <w:p>
      <w:pPr>
        <w:spacing w:line="312"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（投标文件二）</w:t>
      </w:r>
    </w:p>
    <w:p>
      <w:pPr>
        <w:spacing w:line="312" w:lineRule="auto"/>
        <w:jc w:val="center"/>
        <w:rPr>
          <w:rFonts w:ascii="仿宋_GB2312" w:hAnsi="仿宋_GB2312" w:eastAsia="仿宋_GB2312" w:cs="仿宋_GB2312"/>
          <w:sz w:val="28"/>
          <w:szCs w:val="28"/>
        </w:rPr>
      </w:pPr>
    </w:p>
    <w:p>
      <w:pPr>
        <w:spacing w:line="312"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p>
      <w:pPr>
        <w:spacing w:line="312" w:lineRule="auto"/>
        <w:rPr>
          <w:rFonts w:ascii="仿宋_GB2312" w:hAnsi="仿宋_GB2312" w:eastAsia="仿宋_GB2312" w:cs="仿宋_GB2312"/>
          <w:sz w:val="28"/>
          <w:szCs w:val="28"/>
        </w:rPr>
      </w:pPr>
    </w:p>
    <w:p>
      <w:pPr>
        <w:spacing w:line="312" w:lineRule="auto"/>
        <w:rPr>
          <w:rFonts w:ascii="仿宋_GB2312" w:hAnsi="仿宋_GB2312" w:eastAsia="仿宋_GB2312" w:cs="仿宋_GB2312"/>
          <w:sz w:val="28"/>
          <w:szCs w:val="28"/>
        </w:rPr>
      </w:pPr>
    </w:p>
    <w:p>
      <w:pPr>
        <w:spacing w:line="312" w:lineRule="auto"/>
        <w:rPr>
          <w:rFonts w:ascii="仿宋_GB2312" w:hAnsi="仿宋_GB2312" w:eastAsia="仿宋_GB2312" w:cs="仿宋_GB2312"/>
          <w:sz w:val="28"/>
          <w:szCs w:val="28"/>
        </w:rPr>
      </w:pPr>
    </w:p>
    <w:p>
      <w:pPr>
        <w:spacing w:line="312" w:lineRule="auto"/>
        <w:rPr>
          <w:rFonts w:ascii="仿宋_GB2312" w:hAnsi="仿宋_GB2312" w:eastAsia="仿宋_GB2312" w:cs="仿宋_GB2312"/>
          <w:sz w:val="28"/>
          <w:szCs w:val="28"/>
        </w:rPr>
      </w:pPr>
    </w:p>
    <w:p>
      <w:pPr>
        <w:spacing w:line="312" w:lineRule="auto"/>
        <w:rPr>
          <w:rFonts w:ascii="仿宋_GB2312" w:hAnsi="仿宋_GB2312" w:eastAsia="仿宋_GB2312" w:cs="仿宋_GB2312"/>
          <w:sz w:val="28"/>
          <w:szCs w:val="28"/>
        </w:rPr>
      </w:pPr>
    </w:p>
    <w:p>
      <w:pPr>
        <w:spacing w:line="312" w:lineRule="auto"/>
        <w:rPr>
          <w:rFonts w:ascii="仿宋_GB2312" w:hAnsi="仿宋_GB2312" w:eastAsia="仿宋_GB2312" w:cs="仿宋_GB2312"/>
          <w:sz w:val="28"/>
          <w:szCs w:val="28"/>
        </w:rPr>
      </w:pPr>
    </w:p>
    <w:p>
      <w:pPr>
        <w:spacing w:line="312" w:lineRule="auto"/>
        <w:rPr>
          <w:rFonts w:ascii="仿宋_GB2312" w:hAnsi="仿宋_GB2312" w:eastAsia="仿宋_GB2312" w:cs="仿宋_GB2312"/>
          <w:sz w:val="28"/>
          <w:szCs w:val="28"/>
        </w:rPr>
      </w:pPr>
    </w:p>
    <w:p>
      <w:pPr>
        <w:spacing w:line="312" w:lineRule="auto"/>
        <w:jc w:val="cente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投标人：（盖章）</w:t>
      </w:r>
    </w:p>
    <w:p>
      <w:pPr>
        <w:spacing w:line="312"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法定代表人或授权委托代理人：（签字或盖章）</w:t>
      </w:r>
    </w:p>
    <w:p>
      <w:pPr>
        <w:spacing w:line="312"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年月日</w:t>
      </w:r>
    </w:p>
    <w:p>
      <w:pPr>
        <w:spacing w:line="312" w:lineRule="auto"/>
        <w:ind w:firstLine="562"/>
        <w:jc w:val="center"/>
        <w:rPr>
          <w:rFonts w:ascii="仿宋_GB2312" w:hAnsi="仿宋_GB2312" w:eastAsia="仿宋_GB2312" w:cs="仿宋_GB2312"/>
          <w:b/>
          <w:sz w:val="28"/>
          <w:szCs w:val="28"/>
        </w:rPr>
      </w:pPr>
    </w:p>
    <w:p>
      <w:pPr>
        <w:spacing w:line="312" w:lineRule="auto"/>
        <w:ind w:firstLine="562" w:firstLineChars="200"/>
        <w:rPr>
          <w:rFonts w:ascii="仿宋_GB2312" w:hAnsi="仿宋_GB2312" w:eastAsia="仿宋_GB2312" w:cs="仿宋_GB2312"/>
          <w:b/>
          <w:sz w:val="28"/>
          <w:szCs w:val="28"/>
        </w:rPr>
      </w:pPr>
    </w:p>
    <w:p>
      <w:pPr>
        <w:spacing w:line="312" w:lineRule="auto"/>
        <w:ind w:firstLine="562"/>
        <w:rPr>
          <w:rFonts w:ascii="仿宋_GB2312" w:hAnsi="仿宋_GB2312" w:eastAsia="仿宋_GB2312" w:cs="仿宋_GB2312"/>
          <w:b/>
          <w:sz w:val="28"/>
          <w:szCs w:val="28"/>
        </w:rPr>
      </w:pPr>
    </w:p>
    <w:p>
      <w:pPr>
        <w:pStyle w:val="2"/>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spacing w:line="312" w:lineRule="auto"/>
        <w:ind w:firstLine="562"/>
        <w:rPr>
          <w:rFonts w:ascii="仿宋_GB2312" w:hAnsi="仿宋_GB2312" w:eastAsia="仿宋_GB2312" w:cs="仿宋_GB2312"/>
          <w:b/>
          <w:sz w:val="28"/>
          <w:szCs w:val="28"/>
        </w:rPr>
      </w:pPr>
    </w:p>
    <w:p>
      <w:pPr>
        <w:spacing w:line="312" w:lineRule="auto"/>
        <w:ind w:firstLine="562"/>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目录</w:t>
      </w:r>
    </w:p>
    <w:p>
      <w:pPr>
        <w:spacing w:line="312" w:lineRule="auto"/>
        <w:ind w:left="420"/>
        <w:rPr>
          <w:rFonts w:ascii="仿宋_GB2312" w:hAnsi="仿宋_GB2312" w:eastAsia="仿宋_GB2312" w:cs="仿宋_GB2312"/>
          <w:sz w:val="28"/>
          <w:szCs w:val="28"/>
        </w:rPr>
      </w:pPr>
      <w:r>
        <w:rPr>
          <w:rFonts w:hint="eastAsia" w:ascii="仿宋_GB2312" w:hAnsi="仿宋_GB2312" w:eastAsia="仿宋_GB2312" w:cs="仿宋_GB2312"/>
          <w:sz w:val="28"/>
          <w:szCs w:val="28"/>
        </w:rPr>
        <w:t>（1）开标一览表（格式见附件）；</w:t>
      </w:r>
    </w:p>
    <w:p>
      <w:pPr>
        <w:spacing w:line="312" w:lineRule="auto"/>
        <w:ind w:left="420"/>
        <w:rPr>
          <w:rFonts w:ascii="仿宋_GB2312" w:hAnsi="仿宋_GB2312" w:eastAsia="仿宋_GB2312" w:cs="仿宋_GB2312"/>
          <w:sz w:val="28"/>
          <w:szCs w:val="28"/>
        </w:rPr>
      </w:pPr>
      <w:r>
        <w:rPr>
          <w:rFonts w:hint="eastAsia" w:ascii="仿宋_GB2312" w:hAnsi="仿宋_GB2312" w:eastAsia="仿宋_GB2312" w:cs="仿宋_GB2312"/>
          <w:sz w:val="28"/>
          <w:szCs w:val="28"/>
        </w:rPr>
        <w:t>（2）投标函（格式见附件）；</w:t>
      </w:r>
    </w:p>
    <w:p>
      <w:pPr>
        <w:spacing w:line="312" w:lineRule="auto"/>
        <w:ind w:left="420"/>
        <w:rPr>
          <w:rFonts w:ascii="仿宋_GB2312" w:hAnsi="仿宋_GB2312" w:eastAsia="仿宋_GB2312" w:cs="仿宋_GB2312"/>
          <w:sz w:val="28"/>
          <w:szCs w:val="28"/>
        </w:rPr>
      </w:pPr>
      <w:r>
        <w:rPr>
          <w:rFonts w:hint="eastAsia" w:ascii="仿宋_GB2312" w:hAnsi="仿宋_GB2312" w:eastAsia="仿宋_GB2312" w:cs="仿宋_GB2312"/>
          <w:sz w:val="28"/>
          <w:szCs w:val="28"/>
        </w:rPr>
        <w:t>（3）分项报价清单</w:t>
      </w:r>
    </w:p>
    <w:p>
      <w:pPr>
        <w:spacing w:line="312" w:lineRule="auto"/>
        <w:ind w:left="420"/>
        <w:rPr>
          <w:rFonts w:ascii="仿宋_GB2312" w:hAnsi="仿宋_GB2312" w:eastAsia="仿宋_GB2312" w:cs="仿宋_GB2312"/>
          <w:sz w:val="28"/>
          <w:szCs w:val="28"/>
        </w:rPr>
      </w:pPr>
      <w:r>
        <w:rPr>
          <w:rFonts w:hint="eastAsia" w:ascii="仿宋_GB2312" w:hAnsi="仿宋_GB2312" w:eastAsia="仿宋_GB2312" w:cs="仿宋_GB2312"/>
          <w:sz w:val="28"/>
          <w:szCs w:val="28"/>
        </w:rPr>
        <w:t>（4）评标办法商务评审所需相关证明材料和投标人认为需要提供的其他证明材料。</w:t>
      </w:r>
    </w:p>
    <w:p>
      <w:pPr>
        <w:spacing w:line="312" w:lineRule="auto"/>
        <w:ind w:left="420"/>
        <w:rPr>
          <w:rFonts w:ascii="仿宋_GB2312" w:hAnsi="仿宋_GB2312" w:eastAsia="仿宋_GB2312" w:cs="仿宋_GB2312"/>
          <w:sz w:val="28"/>
          <w:szCs w:val="28"/>
        </w:rPr>
      </w:pPr>
    </w:p>
    <w:p>
      <w:pPr>
        <w:spacing w:line="312" w:lineRule="auto"/>
        <w:ind w:firstLine="562"/>
        <w:jc w:val="center"/>
        <w:rPr>
          <w:rFonts w:ascii="仿宋_GB2312" w:hAnsi="仿宋_GB2312" w:eastAsia="仿宋_GB2312" w:cs="仿宋_GB2312"/>
          <w:b/>
          <w:bCs/>
          <w:sz w:val="28"/>
          <w:szCs w:val="28"/>
        </w:rPr>
      </w:pPr>
    </w:p>
    <w:p>
      <w:pPr>
        <w:spacing w:line="312" w:lineRule="auto"/>
        <w:ind w:firstLine="562"/>
        <w:jc w:val="center"/>
        <w:rPr>
          <w:rFonts w:ascii="仿宋_GB2312" w:hAnsi="仿宋_GB2312" w:eastAsia="仿宋_GB2312" w:cs="仿宋_GB2312"/>
          <w:b/>
          <w:sz w:val="28"/>
          <w:szCs w:val="28"/>
        </w:rPr>
      </w:pPr>
    </w:p>
    <w:p>
      <w:pPr>
        <w:snapToGrid w:val="0"/>
        <w:spacing w:line="312" w:lineRule="auto"/>
        <w:ind w:left="2940" w:leftChars="1400" w:firstLine="843" w:firstLineChars="300"/>
        <w:rPr>
          <w:rFonts w:ascii="仿宋_GB2312" w:hAnsi="仿宋_GB2312" w:eastAsia="仿宋_GB2312" w:cs="仿宋_GB2312"/>
          <w:b/>
          <w:sz w:val="28"/>
          <w:szCs w:val="28"/>
        </w:rPr>
      </w:pPr>
    </w:p>
    <w:p>
      <w:pPr>
        <w:snapToGrid w:val="0"/>
        <w:spacing w:line="312" w:lineRule="auto"/>
        <w:ind w:left="2940" w:leftChars="1400" w:firstLine="843" w:firstLineChars="300"/>
        <w:rPr>
          <w:rFonts w:ascii="仿宋_GB2312" w:hAnsi="仿宋_GB2312" w:eastAsia="仿宋_GB2312" w:cs="仿宋_GB2312"/>
          <w:b/>
          <w:sz w:val="28"/>
          <w:szCs w:val="28"/>
        </w:rPr>
      </w:pPr>
    </w:p>
    <w:p>
      <w:pPr>
        <w:snapToGrid w:val="0"/>
        <w:spacing w:line="312" w:lineRule="auto"/>
        <w:ind w:left="2940" w:leftChars="1400" w:firstLine="843" w:firstLineChars="300"/>
        <w:rPr>
          <w:rFonts w:ascii="仿宋_GB2312" w:hAnsi="仿宋_GB2312" w:eastAsia="仿宋_GB2312" w:cs="仿宋_GB2312"/>
          <w:b/>
          <w:sz w:val="28"/>
          <w:szCs w:val="28"/>
        </w:rPr>
      </w:pPr>
    </w:p>
    <w:p>
      <w:pPr>
        <w:snapToGrid w:val="0"/>
        <w:spacing w:line="312" w:lineRule="auto"/>
        <w:ind w:left="2940" w:leftChars="1400" w:firstLine="843" w:firstLineChars="300"/>
        <w:rPr>
          <w:rFonts w:ascii="仿宋_GB2312" w:hAnsi="仿宋_GB2312" w:eastAsia="仿宋_GB2312" w:cs="仿宋_GB2312"/>
          <w:b/>
          <w:sz w:val="28"/>
          <w:szCs w:val="28"/>
        </w:rPr>
      </w:pPr>
    </w:p>
    <w:p>
      <w:pPr>
        <w:snapToGrid w:val="0"/>
        <w:spacing w:line="312" w:lineRule="auto"/>
        <w:ind w:left="2940" w:leftChars="1400" w:firstLine="843" w:firstLineChars="300"/>
        <w:rPr>
          <w:rFonts w:ascii="仿宋_GB2312" w:hAnsi="仿宋_GB2312" w:eastAsia="仿宋_GB2312" w:cs="仿宋_GB2312"/>
          <w:b/>
          <w:sz w:val="28"/>
          <w:szCs w:val="28"/>
        </w:rPr>
      </w:pPr>
    </w:p>
    <w:p>
      <w:pPr>
        <w:snapToGrid w:val="0"/>
        <w:spacing w:line="312" w:lineRule="auto"/>
        <w:ind w:left="2940" w:leftChars="1400" w:firstLine="843" w:firstLineChars="300"/>
        <w:rPr>
          <w:rFonts w:ascii="仿宋_GB2312" w:hAnsi="仿宋_GB2312" w:eastAsia="仿宋_GB2312" w:cs="仿宋_GB2312"/>
          <w:b/>
          <w:sz w:val="28"/>
          <w:szCs w:val="28"/>
        </w:rPr>
      </w:pPr>
    </w:p>
    <w:p>
      <w:pPr>
        <w:snapToGrid w:val="0"/>
        <w:spacing w:line="312" w:lineRule="auto"/>
        <w:ind w:left="2940" w:leftChars="1400" w:firstLine="843" w:firstLineChars="300"/>
        <w:rPr>
          <w:rFonts w:ascii="仿宋_GB2312" w:hAnsi="仿宋_GB2312" w:eastAsia="仿宋_GB2312" w:cs="仿宋_GB2312"/>
          <w:b/>
          <w:sz w:val="28"/>
          <w:szCs w:val="28"/>
        </w:rPr>
      </w:pPr>
    </w:p>
    <w:p>
      <w:pPr>
        <w:snapToGrid w:val="0"/>
        <w:spacing w:line="312" w:lineRule="auto"/>
        <w:ind w:left="2940" w:leftChars="1400" w:firstLine="843" w:firstLineChars="300"/>
        <w:rPr>
          <w:rFonts w:ascii="仿宋_GB2312" w:hAnsi="仿宋_GB2312" w:eastAsia="仿宋_GB2312" w:cs="仿宋_GB2312"/>
          <w:b/>
          <w:sz w:val="28"/>
          <w:szCs w:val="28"/>
        </w:rPr>
      </w:pPr>
    </w:p>
    <w:p>
      <w:pPr>
        <w:snapToGrid w:val="0"/>
        <w:spacing w:line="312" w:lineRule="auto"/>
        <w:ind w:left="2940" w:leftChars="1400" w:firstLine="843" w:firstLineChars="300"/>
        <w:rPr>
          <w:rFonts w:ascii="仿宋_GB2312" w:hAnsi="仿宋_GB2312" w:eastAsia="仿宋_GB2312" w:cs="仿宋_GB2312"/>
          <w:b/>
          <w:sz w:val="28"/>
          <w:szCs w:val="28"/>
        </w:rPr>
      </w:pPr>
    </w:p>
    <w:p>
      <w:pPr>
        <w:snapToGrid w:val="0"/>
        <w:spacing w:line="312" w:lineRule="auto"/>
        <w:ind w:left="2940" w:leftChars="1400" w:firstLine="843" w:firstLineChars="300"/>
        <w:rPr>
          <w:rFonts w:ascii="仿宋_GB2312" w:hAnsi="仿宋_GB2312" w:eastAsia="仿宋_GB2312" w:cs="仿宋_GB2312"/>
          <w:b/>
          <w:sz w:val="28"/>
          <w:szCs w:val="28"/>
        </w:rPr>
      </w:pPr>
    </w:p>
    <w:p>
      <w:pPr>
        <w:snapToGrid w:val="0"/>
        <w:spacing w:line="312" w:lineRule="auto"/>
        <w:ind w:firstLine="562"/>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r>
        <w:rPr>
          <w:rFonts w:hint="eastAsia" w:ascii="仿宋_GB2312" w:hAnsi="仿宋_GB2312" w:eastAsia="仿宋_GB2312" w:cs="仿宋_GB2312"/>
          <w:b/>
          <w:sz w:val="28"/>
          <w:szCs w:val="28"/>
        </w:rPr>
        <w:t>附件1</w:t>
      </w:r>
    </w:p>
    <w:p>
      <w:pPr>
        <w:spacing w:line="312" w:lineRule="auto"/>
        <w:ind w:firstLine="413" w:firstLineChars="147"/>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开标一览表</w:t>
      </w:r>
    </w:p>
    <w:p>
      <w:pPr>
        <w:snapToGrid w:val="0"/>
        <w:spacing w:line="312" w:lineRule="auto"/>
        <w:ind w:left="2940" w:leftChars="1400" w:firstLine="840" w:firstLineChars="300"/>
        <w:rPr>
          <w:rFonts w:ascii="仿宋_GB2312" w:hAnsi="仿宋_GB2312" w:eastAsia="仿宋_GB2312" w:cs="仿宋_GB2312"/>
          <w:sz w:val="28"/>
          <w:szCs w:val="28"/>
        </w:rPr>
      </w:pPr>
    </w:p>
    <w:tbl>
      <w:tblPr>
        <w:tblStyle w:val="33"/>
        <w:tblW w:w="94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7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30" w:hRule="exact"/>
        </w:trPr>
        <w:tc>
          <w:tcPr>
            <w:tcW w:w="1784" w:type="dxa"/>
            <w:tcBorders>
              <w:top w:val="single" w:color="auto" w:sz="12" w:space="0"/>
              <w:bottom w:val="single" w:color="auto" w:sz="12" w:space="0"/>
              <w:right w:val="single" w:color="auto" w:sz="12" w:space="0"/>
            </w:tcBorders>
            <w:vAlign w:val="center"/>
          </w:tcPr>
          <w:p>
            <w:pPr>
              <w:spacing w:line="312"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7715" w:type="dxa"/>
            <w:tcBorders>
              <w:top w:val="single" w:color="auto" w:sz="12" w:space="0"/>
              <w:left w:val="single" w:color="auto" w:sz="12" w:space="0"/>
              <w:bottom w:val="single" w:color="auto" w:sz="12" w:space="0"/>
            </w:tcBorders>
            <w:vAlign w:val="center"/>
          </w:tcPr>
          <w:p>
            <w:pPr>
              <w:spacing w:line="312" w:lineRule="auto"/>
              <w:jc w:val="left"/>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0" w:hRule="exact"/>
        </w:trPr>
        <w:tc>
          <w:tcPr>
            <w:tcW w:w="1784" w:type="dxa"/>
            <w:tcBorders>
              <w:right w:val="single" w:color="auto" w:sz="12" w:space="0"/>
            </w:tcBorders>
            <w:vAlign w:val="center"/>
          </w:tcPr>
          <w:p>
            <w:pPr>
              <w:spacing w:line="312" w:lineRule="auto"/>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投标人名称</w:t>
            </w:r>
          </w:p>
        </w:tc>
        <w:tc>
          <w:tcPr>
            <w:tcW w:w="7715" w:type="dxa"/>
            <w:tcBorders>
              <w:left w:val="single" w:color="auto" w:sz="12" w:space="0"/>
            </w:tcBorders>
          </w:tcPr>
          <w:p>
            <w:pPr>
              <w:pStyle w:val="20"/>
              <w:spacing w:line="312" w:lineRule="auto"/>
              <w:ind w:left="86" w:leftChars="41"/>
              <w:rPr>
                <w:rFonts w:ascii="仿宋_GB2312" w:hAnsi="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51" w:hRule="exact"/>
        </w:trPr>
        <w:tc>
          <w:tcPr>
            <w:tcW w:w="1784" w:type="dxa"/>
            <w:tcBorders>
              <w:right w:val="single" w:color="auto" w:sz="12" w:space="0"/>
            </w:tcBorders>
            <w:vAlign w:val="center"/>
          </w:tcPr>
          <w:p>
            <w:pPr>
              <w:spacing w:line="312"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投标报价/工期</w:t>
            </w:r>
          </w:p>
        </w:tc>
        <w:tc>
          <w:tcPr>
            <w:tcW w:w="7715" w:type="dxa"/>
            <w:tcBorders>
              <w:left w:val="single" w:color="auto" w:sz="12" w:space="0"/>
            </w:tcBorders>
            <w:vAlign w:val="center"/>
          </w:tcPr>
          <w:p>
            <w:pPr>
              <w:widowControl/>
              <w:jc w:val="left"/>
              <w:rPr>
                <w:rFonts w:ascii="仿宋_GB2312" w:hAnsi="仿宋_GB2312" w:eastAsia="仿宋_GB2312" w:cs="仿宋_GB2312"/>
                <w:color w:val="000000"/>
                <w:kern w:val="0"/>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总报价   （大写）：元</w:t>
            </w:r>
          </w:p>
          <w:p>
            <w:pPr>
              <w:spacing w:line="360" w:lineRule="auto"/>
              <w:ind w:firstLine="1400" w:firstLineChars="500"/>
              <w:rPr>
                <w:rFonts w:ascii="仿宋_GB2312" w:hAnsi="仿宋_GB2312" w:eastAsia="仿宋_GB2312" w:cs="仿宋_GB2312"/>
                <w:sz w:val="28"/>
                <w:szCs w:val="28"/>
              </w:rPr>
            </w:pPr>
            <w:r>
              <w:rPr>
                <w:rFonts w:hint="eastAsia" w:ascii="仿宋_GB2312" w:hAnsi="仿宋_GB2312" w:eastAsia="仿宋_GB2312" w:cs="仿宋_GB2312"/>
                <w:sz w:val="28"/>
                <w:szCs w:val="28"/>
              </w:rPr>
              <w:t>(小写) ：元</w:t>
            </w:r>
          </w:p>
          <w:p>
            <w:pPr>
              <w:pStyle w:val="2"/>
              <w:ind w:firstLine="560"/>
              <w:rPr>
                <w:rFonts w:ascii="仿宋_GB2312" w:hAnsi="仿宋_GB2312" w:eastAsia="仿宋_GB2312" w:cs="仿宋_GB2312"/>
                <w:sz w:val="28"/>
                <w:szCs w:val="28"/>
              </w:rPr>
            </w:pPr>
          </w:p>
          <w:p>
            <w:pPr>
              <w:rPr>
                <w:rFonts w:ascii="仿宋_GB2312" w:hAnsi="仿宋_GB2312" w:eastAsia="仿宋_GB2312" w:cs="仿宋_GB2312"/>
                <w:sz w:val="28"/>
                <w:szCs w:val="28"/>
              </w:rPr>
            </w:pPr>
          </w:p>
          <w:p>
            <w:pPr>
              <w:spacing w:line="312" w:lineRule="auto"/>
              <w:rPr>
                <w:rFonts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供货期（服务期）：</w:t>
            </w:r>
          </w:p>
          <w:p>
            <w:pPr>
              <w:widowControl/>
              <w:spacing w:line="360" w:lineRule="auto"/>
              <w:jc w:val="left"/>
              <w:rPr>
                <w:rFonts w:ascii="仿宋_GB2312" w:hAnsi="仿宋_GB2312" w:eastAsia="仿宋_GB2312" w:cs="仿宋_GB2312"/>
                <w:sz w:val="28"/>
                <w:szCs w:val="28"/>
              </w:rPr>
            </w:pPr>
          </w:p>
          <w:p>
            <w:pPr>
              <w:spacing w:line="312" w:lineRule="auto"/>
              <w:rPr>
                <w:rFonts w:ascii="仿宋_GB2312" w:hAnsi="仿宋_GB2312" w:eastAsia="仿宋_GB2312" w:cs="仿宋_GB2312"/>
                <w:sz w:val="28"/>
                <w:szCs w:val="28"/>
              </w:rPr>
            </w:pPr>
          </w:p>
          <w:p>
            <w:pPr>
              <w:spacing w:line="312" w:lineRule="auto"/>
              <w:rPr>
                <w:rFonts w:ascii="仿宋_GB2312" w:hAnsi="仿宋_GB2312" w:eastAsia="仿宋_GB2312" w:cs="仿宋_GB2312"/>
                <w:sz w:val="28"/>
                <w:szCs w:val="28"/>
              </w:rPr>
            </w:pPr>
          </w:p>
        </w:tc>
      </w:tr>
    </w:tbl>
    <w:p>
      <w:pPr>
        <w:snapToGrid w:val="0"/>
        <w:spacing w:line="312" w:lineRule="auto"/>
        <w:ind w:left="2940" w:leftChars="1400" w:firstLine="843" w:firstLineChars="300"/>
        <w:rPr>
          <w:rFonts w:ascii="仿宋_GB2312" w:hAnsi="仿宋_GB2312" w:eastAsia="仿宋_GB2312" w:cs="仿宋_GB2312"/>
          <w:b/>
          <w:sz w:val="28"/>
          <w:szCs w:val="28"/>
        </w:rPr>
      </w:pPr>
    </w:p>
    <w:p>
      <w:pPr>
        <w:snapToGrid w:val="0"/>
        <w:spacing w:line="312" w:lineRule="auto"/>
        <w:ind w:left="2940" w:leftChars="1400" w:firstLine="843" w:firstLineChars="300"/>
        <w:rPr>
          <w:rFonts w:ascii="仿宋_GB2312" w:hAnsi="仿宋_GB2312" w:eastAsia="仿宋_GB2312" w:cs="仿宋_GB2312"/>
          <w:b/>
          <w:sz w:val="28"/>
          <w:szCs w:val="28"/>
        </w:rPr>
      </w:pPr>
    </w:p>
    <w:p>
      <w:pPr>
        <w:snapToGrid w:val="0"/>
        <w:spacing w:beforeLines="100" w:afterLines="100" w:line="312"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法定代表人或其委托代理人（签字或盖章）：         </w:t>
      </w:r>
    </w:p>
    <w:p>
      <w:pPr>
        <w:snapToGrid w:val="0"/>
        <w:spacing w:beforeLines="100" w:afterLines="100" w:line="312"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投标人（盖单位章）                                      </w:t>
      </w:r>
    </w:p>
    <w:p>
      <w:pPr>
        <w:snapToGrid w:val="0"/>
        <w:spacing w:beforeLines="100" w:afterLines="100" w:line="312" w:lineRule="auto"/>
        <w:jc w:val="center"/>
        <w:rPr>
          <w:rFonts w:ascii="仿宋_GB2312" w:hAnsi="仿宋_GB2312" w:eastAsia="仿宋_GB2312" w:cs="仿宋_GB2312"/>
          <w:b/>
          <w:bCs/>
          <w:sz w:val="28"/>
          <w:szCs w:val="28"/>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28"/>
          <w:szCs w:val="28"/>
        </w:rPr>
        <w:t xml:space="preserve">日  期：    年  月  日 </w:t>
      </w:r>
    </w:p>
    <w:p>
      <w:pPr>
        <w:spacing w:line="312" w:lineRule="auto"/>
        <w:ind w:firstLine="413" w:firstLineChars="147"/>
        <w:rPr>
          <w:rFonts w:ascii="仿宋_GB2312" w:hAnsi="仿宋_GB2312" w:eastAsia="仿宋_GB2312" w:cs="仿宋_GB2312"/>
          <w:b/>
          <w:sz w:val="28"/>
          <w:szCs w:val="28"/>
        </w:rPr>
      </w:pPr>
      <w:r>
        <w:rPr>
          <w:rFonts w:hint="eastAsia" w:ascii="仿宋_GB2312" w:hAnsi="仿宋_GB2312" w:eastAsia="仿宋_GB2312" w:cs="仿宋_GB2312"/>
          <w:b/>
          <w:sz w:val="28"/>
          <w:szCs w:val="28"/>
        </w:rPr>
        <w:t>附件2</w:t>
      </w:r>
    </w:p>
    <w:p>
      <w:pPr>
        <w:spacing w:line="312" w:lineRule="auto"/>
        <w:ind w:firstLine="413" w:firstLineChars="147"/>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t>投  标  函</w:t>
      </w:r>
    </w:p>
    <w:bookmarkEnd w:id="135"/>
    <w:p>
      <w:pPr>
        <w:widowControl/>
        <w:spacing w:line="460" w:lineRule="exact"/>
        <w:jc w:val="left"/>
        <w:rPr>
          <w:rFonts w:ascii="仿宋_GB2312" w:hAnsi="仿宋_GB2312" w:eastAsia="仿宋_GB2312" w:cs="仿宋_GB2312"/>
          <w:sz w:val="28"/>
          <w:szCs w:val="28"/>
        </w:rPr>
      </w:pPr>
      <w:bookmarkStart w:id="136" w:name="_Toc449028957"/>
      <w:bookmarkStart w:id="137" w:name="_Toc16179"/>
      <w:r>
        <w:rPr>
          <w:rFonts w:hint="eastAsia" w:ascii="仿宋_GB2312" w:hAnsi="仿宋_GB2312" w:eastAsia="仿宋_GB2312" w:cs="仿宋_GB2312"/>
          <w:color w:val="000000"/>
          <w:kern w:val="0"/>
          <w:sz w:val="28"/>
          <w:szCs w:val="28"/>
        </w:rPr>
        <w:t>致：</w:t>
      </w:r>
      <w:r>
        <w:rPr>
          <w:rFonts w:hint="eastAsia" w:ascii="仿宋_GB2312" w:hAnsi="仿宋_GB2312" w:eastAsia="仿宋_GB2312" w:cs="仿宋_GB2312"/>
          <w:color w:val="000000"/>
          <w:kern w:val="0"/>
          <w:sz w:val="28"/>
          <w:szCs w:val="28"/>
          <w:u w:val="single"/>
        </w:rPr>
        <w:t xml:space="preserve">(招标人) </w:t>
      </w:r>
    </w:p>
    <w:p>
      <w:pPr>
        <w:widowControl/>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1、我们决定参加贵单位组织的“</w:t>
      </w:r>
      <w:r>
        <w:rPr>
          <w:rFonts w:hint="eastAsia" w:ascii="仿宋_GB2312" w:hAnsi="仿宋_GB2312" w:eastAsia="仿宋_GB2312" w:cs="仿宋_GB2312"/>
          <w:color w:val="000000"/>
          <w:kern w:val="0"/>
          <w:sz w:val="28"/>
          <w:szCs w:val="28"/>
          <w:u w:val="single"/>
        </w:rPr>
        <w:t>（项目名称）</w:t>
      </w:r>
      <w:r>
        <w:rPr>
          <w:rFonts w:hint="eastAsia" w:ascii="仿宋_GB2312" w:hAnsi="仿宋_GB2312" w:eastAsia="仿宋_GB2312" w:cs="仿宋_GB2312"/>
          <w:color w:val="000000"/>
          <w:kern w:val="0"/>
          <w:sz w:val="28"/>
          <w:szCs w:val="28"/>
        </w:rPr>
        <w:t xml:space="preserve">”的采购。我方 </w:t>
      </w:r>
    </w:p>
    <w:p>
      <w:pPr>
        <w:widowControl/>
        <w:spacing w:line="4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授权</w:t>
      </w:r>
      <w:r>
        <w:rPr>
          <w:rFonts w:hint="eastAsia" w:ascii="仿宋_GB2312" w:hAnsi="仿宋_GB2312" w:eastAsia="仿宋_GB2312" w:cs="仿宋_GB2312"/>
          <w:color w:val="000000"/>
          <w:kern w:val="0"/>
          <w:sz w:val="28"/>
          <w:szCs w:val="28"/>
          <w:u w:val="single"/>
        </w:rPr>
        <w:t>(姓名和职务)</w:t>
      </w:r>
      <w:r>
        <w:rPr>
          <w:rFonts w:hint="eastAsia" w:ascii="仿宋_GB2312" w:hAnsi="仿宋_GB2312" w:eastAsia="仿宋_GB2312" w:cs="仿宋_GB2312"/>
          <w:color w:val="000000"/>
          <w:kern w:val="0"/>
          <w:sz w:val="28"/>
          <w:szCs w:val="28"/>
        </w:rPr>
        <w:t>代表我方</w:t>
      </w:r>
      <w:r>
        <w:rPr>
          <w:rFonts w:hint="eastAsia" w:ascii="仿宋_GB2312" w:hAnsi="仿宋_GB2312" w:eastAsia="仿宋_GB2312" w:cs="仿宋_GB2312"/>
          <w:color w:val="000000"/>
          <w:kern w:val="0"/>
          <w:sz w:val="28"/>
          <w:szCs w:val="28"/>
          <w:u w:val="single"/>
        </w:rPr>
        <w:t>（投标单位的名称）</w:t>
      </w:r>
      <w:r>
        <w:rPr>
          <w:rFonts w:hint="eastAsia" w:ascii="仿宋_GB2312" w:hAnsi="仿宋_GB2312" w:eastAsia="仿宋_GB2312" w:cs="仿宋_GB2312"/>
          <w:color w:val="000000"/>
          <w:kern w:val="0"/>
          <w:sz w:val="28"/>
          <w:szCs w:val="28"/>
        </w:rPr>
        <w:t xml:space="preserve">全权处理本项目投标的有关事宜。 </w:t>
      </w:r>
    </w:p>
    <w:p>
      <w:pPr>
        <w:widowControl/>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2、我方愿意按照采购文件规定的各项要求，向招标人提供“</w:t>
      </w:r>
      <w:r>
        <w:rPr>
          <w:rFonts w:hint="eastAsia" w:ascii="仿宋_GB2312" w:hAnsi="仿宋_GB2312" w:eastAsia="仿宋_GB2312" w:cs="仿宋_GB2312"/>
          <w:color w:val="000000"/>
          <w:kern w:val="0"/>
          <w:sz w:val="28"/>
          <w:szCs w:val="28"/>
          <w:u w:val="single"/>
        </w:rPr>
        <w:t>（项目名称）</w:t>
      </w:r>
      <w:r>
        <w:rPr>
          <w:rFonts w:hint="eastAsia" w:ascii="仿宋_GB2312" w:hAnsi="仿宋_GB2312" w:eastAsia="仿宋_GB2312" w:cs="仿宋_GB2312"/>
          <w:color w:val="000000"/>
          <w:kern w:val="0"/>
          <w:sz w:val="28"/>
          <w:szCs w:val="28"/>
        </w:rPr>
        <w:t>”的货物和服务，</w:t>
      </w:r>
      <w:r>
        <w:rPr>
          <w:rFonts w:hint="eastAsia" w:ascii="仿宋_GB2312" w:hAnsi="仿宋_GB2312" w:eastAsia="仿宋_GB2312" w:cs="仿宋_GB2312"/>
          <w:color w:val="000000"/>
          <w:sz w:val="28"/>
          <w:szCs w:val="28"/>
        </w:rPr>
        <w:t>总投标价为人民币（大写） ；</w:t>
      </w:r>
    </w:p>
    <w:p>
      <w:pPr>
        <w:widowControl/>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xml:space="preserve">3、一旦我方成为合同签字人，我方将严格履行合同规定的责任和义务。 </w:t>
      </w:r>
    </w:p>
    <w:p>
      <w:pPr>
        <w:widowControl/>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xml:space="preserve">4、我方承诺，在采购有效期内如果我方撤回采购投标书或成为合同签字人后拒绝签订合同，或自行转标，将给予相应处罚，并另选中标单位。 </w:t>
      </w:r>
    </w:p>
    <w:p>
      <w:pPr>
        <w:widowControl/>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xml:space="preserve">5、我方愿意提供可能另外要求的、与采购投标有关的文件资料，并保证我方已提供和将要提供的文件是真实的、准确的。 </w:t>
      </w:r>
    </w:p>
    <w:p>
      <w:pPr>
        <w:widowControl/>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6、我单位提供如下通讯地址：</w:t>
      </w:r>
      <w:r>
        <w:rPr>
          <w:rFonts w:hint="eastAsia" w:ascii="仿宋_GB2312" w:hAnsi="仿宋_GB2312" w:eastAsia="仿宋_GB2312" w:cs="仿宋_GB2312"/>
          <w:color w:val="000000"/>
          <w:kern w:val="0"/>
          <w:sz w:val="28"/>
          <w:szCs w:val="28"/>
          <w:u w:val="single"/>
        </w:rPr>
        <w:t xml:space="preserve"> 电子邮箱（地址）</w:t>
      </w:r>
      <w:r>
        <w:rPr>
          <w:rFonts w:hint="eastAsia" w:ascii="仿宋_GB2312" w:hAnsi="仿宋_GB2312" w:eastAsia="仿宋_GB2312" w:cs="仿宋_GB2312"/>
          <w:color w:val="000000"/>
          <w:kern w:val="0"/>
          <w:sz w:val="28"/>
          <w:szCs w:val="28"/>
        </w:rPr>
        <w:t xml:space="preserve">，确认本项目相关法律文书均通过提供的以上地址送达，相关文书只要发送至以上电子邮箱（地址） </w:t>
      </w:r>
    </w:p>
    <w:p>
      <w:pPr>
        <w:widowControl/>
        <w:spacing w:line="4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xml:space="preserve">即视为送达，投标人愿意承担一切法律后果。 </w:t>
      </w:r>
    </w:p>
    <w:p>
      <w:pPr>
        <w:widowControl/>
        <w:spacing w:line="4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xml:space="preserve">投标单位名称： （盖章） </w:t>
      </w:r>
    </w:p>
    <w:p>
      <w:pPr>
        <w:widowControl/>
        <w:spacing w:line="4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xml:space="preserve">法定代表人：（签字或盖章） </w:t>
      </w:r>
    </w:p>
    <w:p>
      <w:pPr>
        <w:widowControl/>
        <w:spacing w:line="4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xml:space="preserve">日 期： </w:t>
      </w:r>
    </w:p>
    <w:p>
      <w:pPr>
        <w:widowControl/>
        <w:spacing w:line="4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xml:space="preserve">通讯地址： </w:t>
      </w:r>
    </w:p>
    <w:p>
      <w:pPr>
        <w:widowControl/>
        <w:spacing w:line="4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xml:space="preserve">电 话： </w:t>
      </w:r>
    </w:p>
    <w:p>
      <w:pPr>
        <w:widowControl/>
        <w:spacing w:line="4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传 真：</w:t>
      </w:r>
    </w:p>
    <w:p>
      <w:pPr>
        <w:spacing w:line="312" w:lineRule="auto"/>
        <w:ind w:firstLine="562"/>
        <w:jc w:val="center"/>
        <w:outlineLvl w:val="0"/>
        <w:rPr>
          <w:rFonts w:ascii="仿宋_GB2312" w:hAnsi="仿宋_GB2312" w:eastAsia="仿宋_GB2312" w:cs="仿宋_GB2312"/>
          <w:b/>
          <w:sz w:val="28"/>
          <w:szCs w:val="28"/>
        </w:rPr>
      </w:pPr>
    </w:p>
    <w:p>
      <w:pPr>
        <w:pStyle w:val="2"/>
        <w:ind w:firstLine="560"/>
        <w:rPr>
          <w:rFonts w:ascii="仿宋_GB2312" w:hAnsi="仿宋_GB2312" w:eastAsia="仿宋_GB2312" w:cs="仿宋_GB2312"/>
          <w:sz w:val="28"/>
          <w:szCs w:val="28"/>
        </w:rPr>
      </w:pPr>
    </w:p>
    <w:p>
      <w:pPr>
        <w:pStyle w:val="27"/>
        <w:ind w:firstLine="560"/>
        <w:rPr>
          <w:rFonts w:ascii="仿宋_GB2312" w:hAnsi="仿宋_GB2312" w:eastAsia="仿宋_GB2312" w:cs="仿宋_GB2312"/>
          <w:sz w:val="28"/>
          <w:szCs w:val="28"/>
        </w:rPr>
      </w:pPr>
    </w:p>
    <w:p>
      <w:pPr>
        <w:spacing w:line="360" w:lineRule="exact"/>
        <w:ind w:firstLine="413" w:firstLineChars="147"/>
        <w:jc w:val="center"/>
        <w:rPr>
          <w:rFonts w:ascii="仿宋_GB2312" w:hAnsi="仿宋_GB2312" w:eastAsia="仿宋_GB2312" w:cs="仿宋_GB2312"/>
          <w:b/>
          <w:sz w:val="28"/>
          <w:szCs w:val="28"/>
        </w:rPr>
      </w:pPr>
    </w:p>
    <w:p>
      <w:pPr>
        <w:pStyle w:val="2"/>
        <w:ind w:firstLine="560"/>
        <w:rPr>
          <w:rFonts w:ascii="仿宋_GB2312" w:hAnsi="仿宋_GB2312" w:eastAsia="仿宋_GB2312" w:cs="仿宋_GB2312"/>
          <w:sz w:val="28"/>
          <w:szCs w:val="28"/>
        </w:rPr>
      </w:pPr>
    </w:p>
    <w:p>
      <w:pPr>
        <w:spacing w:line="360" w:lineRule="exact"/>
        <w:ind w:firstLine="413" w:firstLineChars="147"/>
        <w:jc w:val="center"/>
        <w:rPr>
          <w:rFonts w:ascii="仿宋_GB2312" w:hAnsi="仿宋_GB2312" w:eastAsia="仿宋_GB2312" w:cs="仿宋_GB2312"/>
          <w:b/>
          <w:sz w:val="28"/>
          <w:szCs w:val="28"/>
        </w:rPr>
      </w:pPr>
    </w:p>
    <w:p>
      <w:pPr>
        <w:spacing w:line="360" w:lineRule="exact"/>
        <w:ind w:firstLine="413" w:firstLineChars="147"/>
        <w:jc w:val="center"/>
        <w:rPr>
          <w:rFonts w:ascii="仿宋_GB2312" w:hAnsi="仿宋_GB2312" w:eastAsia="仿宋_GB2312" w:cs="仿宋_GB2312"/>
          <w:b/>
          <w:sz w:val="28"/>
          <w:szCs w:val="28"/>
        </w:rPr>
      </w:pPr>
    </w:p>
    <w:p>
      <w:pPr>
        <w:spacing w:line="360" w:lineRule="exact"/>
        <w:ind w:firstLine="413" w:firstLineChars="147"/>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分项报价清单</w:t>
      </w:r>
    </w:p>
    <w:tbl>
      <w:tblPr>
        <w:tblStyle w:val="33"/>
        <w:tblW w:w="8931"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9"/>
        <w:gridCol w:w="1080"/>
        <w:gridCol w:w="1772"/>
        <w:gridCol w:w="900"/>
        <w:gridCol w:w="765"/>
        <w:gridCol w:w="1995"/>
        <w:gridCol w:w="17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5" w:hRule="atLeast"/>
        </w:trPr>
        <w:tc>
          <w:tcPr>
            <w:tcW w:w="709" w:type="dxa"/>
            <w:noWrap/>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080" w:type="dxa"/>
            <w:tcBorders>
              <w:right w:val="single" w:color="auto" w:sz="4" w:space="0"/>
            </w:tcBorders>
            <w:noWrap/>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1772" w:type="dxa"/>
            <w:tcBorders>
              <w:left w:val="single" w:color="auto" w:sz="4" w:space="0"/>
            </w:tcBorders>
            <w:noWrap/>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材质及规格</w:t>
            </w:r>
          </w:p>
        </w:tc>
        <w:tc>
          <w:tcPr>
            <w:tcW w:w="900" w:type="dxa"/>
            <w:noWrap/>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w:t>
            </w:r>
          </w:p>
        </w:tc>
        <w:tc>
          <w:tcPr>
            <w:tcW w:w="765" w:type="dxa"/>
            <w:noWrap/>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1995" w:type="dxa"/>
            <w:tcBorders>
              <w:left w:val="single" w:color="auto" w:sz="4" w:space="0"/>
            </w:tcBorders>
            <w:noWrap/>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综合单价</w:t>
            </w:r>
          </w:p>
          <w:p>
            <w:pPr>
              <w:spacing w:line="300" w:lineRule="exact"/>
              <w:ind w:left="-80" w:leftChars="-38" w:right="-94" w:rightChars="-45"/>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（元）</w:t>
            </w:r>
          </w:p>
        </w:tc>
        <w:tc>
          <w:tcPr>
            <w:tcW w:w="1710" w:type="dxa"/>
            <w:noWrap/>
            <w:vAlign w:val="center"/>
          </w:tcPr>
          <w:p>
            <w:pPr>
              <w:spacing w:line="300" w:lineRule="exact"/>
              <w:ind w:left="-80" w:leftChars="-38" w:right="-94" w:rightChars="-45"/>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7" w:hRule="atLeast"/>
        </w:trPr>
        <w:tc>
          <w:tcPr>
            <w:tcW w:w="709" w:type="dxa"/>
            <w:shd w:val="clear" w:color="auto" w:fill="auto"/>
            <w:noWrap/>
            <w:vAlign w:val="center"/>
          </w:tcPr>
          <w:p>
            <w:pPr>
              <w:jc w:val="center"/>
              <w:rPr>
                <w:rFonts w:ascii="仿宋_GB2312" w:hAnsi="仿宋_GB2312" w:eastAsia="仿宋_GB2312" w:cs="仿宋_GB2312"/>
                <w:sz w:val="28"/>
                <w:szCs w:val="28"/>
                <w:lang w:eastAsia="en-US"/>
              </w:rPr>
            </w:pPr>
            <w:r>
              <w:rPr>
                <w:rFonts w:hint="eastAsia" w:ascii="仿宋_GB2312" w:hAnsi="仿宋_GB2312" w:eastAsia="仿宋_GB2312" w:cs="仿宋_GB2312"/>
                <w:sz w:val="28"/>
                <w:szCs w:val="28"/>
                <w:lang w:eastAsia="en-US"/>
              </w:rPr>
              <w:t>1</w:t>
            </w:r>
          </w:p>
        </w:tc>
        <w:tc>
          <w:tcPr>
            <w:tcW w:w="1080" w:type="dxa"/>
            <w:tcBorders>
              <w:right w:val="single" w:color="auto" w:sz="4" w:space="0"/>
            </w:tcBorders>
            <w:shd w:val="clear" w:color="auto" w:fill="FFFFFF"/>
            <w:noWrap/>
            <w:vAlign w:val="center"/>
          </w:tcPr>
          <w:p>
            <w:pPr>
              <w:jc w:val="center"/>
              <w:rPr>
                <w:rFonts w:ascii="仿宋_GB2312" w:hAnsi="仿宋_GB2312" w:eastAsia="仿宋_GB2312" w:cs="仿宋_GB2312"/>
                <w:sz w:val="28"/>
                <w:szCs w:val="28"/>
              </w:rPr>
            </w:pPr>
          </w:p>
        </w:tc>
        <w:tc>
          <w:tcPr>
            <w:tcW w:w="1772" w:type="dxa"/>
            <w:tcBorders>
              <w:left w:val="single" w:color="auto" w:sz="4" w:space="0"/>
            </w:tcBorders>
            <w:shd w:val="clear" w:color="auto" w:fill="auto"/>
            <w:noWrap/>
            <w:vAlign w:val="center"/>
          </w:tcPr>
          <w:p>
            <w:pPr>
              <w:jc w:val="center"/>
              <w:rPr>
                <w:rFonts w:ascii="仿宋_GB2312" w:hAnsi="仿宋_GB2312" w:eastAsia="仿宋_GB2312" w:cs="仿宋_GB2312"/>
                <w:sz w:val="28"/>
                <w:szCs w:val="28"/>
              </w:rPr>
            </w:pPr>
          </w:p>
        </w:tc>
        <w:tc>
          <w:tcPr>
            <w:tcW w:w="900" w:type="dxa"/>
            <w:shd w:val="clear" w:color="auto" w:fill="FFFFFF"/>
            <w:noWrap/>
            <w:vAlign w:val="center"/>
          </w:tcPr>
          <w:p>
            <w:pPr>
              <w:jc w:val="center"/>
              <w:rPr>
                <w:rFonts w:ascii="仿宋_GB2312" w:hAnsi="仿宋_GB2312" w:eastAsia="仿宋_GB2312" w:cs="仿宋_GB2312"/>
                <w:sz w:val="28"/>
                <w:szCs w:val="28"/>
              </w:rPr>
            </w:pPr>
          </w:p>
        </w:tc>
        <w:tc>
          <w:tcPr>
            <w:tcW w:w="765" w:type="dxa"/>
            <w:shd w:val="clear" w:color="auto" w:fill="FFFFFF"/>
            <w:noWrap/>
            <w:vAlign w:val="center"/>
          </w:tcPr>
          <w:p>
            <w:pPr>
              <w:jc w:val="center"/>
              <w:rPr>
                <w:rFonts w:ascii="仿宋_GB2312" w:hAnsi="仿宋_GB2312" w:eastAsia="仿宋_GB2312" w:cs="仿宋_GB2312"/>
                <w:sz w:val="28"/>
                <w:szCs w:val="28"/>
              </w:rPr>
            </w:pPr>
          </w:p>
        </w:tc>
        <w:tc>
          <w:tcPr>
            <w:tcW w:w="1995" w:type="dxa"/>
            <w:tcBorders>
              <w:left w:val="single" w:color="auto" w:sz="4" w:space="0"/>
            </w:tcBorders>
            <w:noWrap/>
            <w:vAlign w:val="center"/>
          </w:tcPr>
          <w:p>
            <w:pPr>
              <w:spacing w:line="300" w:lineRule="exact"/>
              <w:jc w:val="center"/>
              <w:rPr>
                <w:rFonts w:ascii="仿宋_GB2312" w:hAnsi="仿宋_GB2312" w:eastAsia="仿宋_GB2312" w:cs="仿宋_GB2312"/>
                <w:sz w:val="28"/>
                <w:szCs w:val="28"/>
              </w:rPr>
            </w:pPr>
          </w:p>
        </w:tc>
        <w:tc>
          <w:tcPr>
            <w:tcW w:w="1710" w:type="dxa"/>
            <w:noWrap/>
            <w:vAlign w:val="center"/>
          </w:tcPr>
          <w:p>
            <w:pPr>
              <w:spacing w:line="300"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7" w:hRule="atLeast"/>
        </w:trPr>
        <w:tc>
          <w:tcPr>
            <w:tcW w:w="709" w:type="dxa"/>
            <w:shd w:val="clear" w:color="auto" w:fill="auto"/>
            <w:noWrap/>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080" w:type="dxa"/>
            <w:tcBorders>
              <w:right w:val="single" w:color="auto" w:sz="4" w:space="0"/>
            </w:tcBorders>
            <w:shd w:val="clear" w:color="auto" w:fill="FFFFFF"/>
            <w:noWrap/>
            <w:vAlign w:val="center"/>
          </w:tcPr>
          <w:p>
            <w:pPr>
              <w:jc w:val="center"/>
              <w:rPr>
                <w:rFonts w:ascii="仿宋_GB2312" w:hAnsi="仿宋_GB2312" w:eastAsia="仿宋_GB2312" w:cs="仿宋_GB2312"/>
                <w:sz w:val="28"/>
                <w:szCs w:val="28"/>
              </w:rPr>
            </w:pPr>
          </w:p>
        </w:tc>
        <w:tc>
          <w:tcPr>
            <w:tcW w:w="1772" w:type="dxa"/>
            <w:tcBorders>
              <w:left w:val="single" w:color="auto" w:sz="4" w:space="0"/>
            </w:tcBorders>
            <w:shd w:val="clear" w:color="auto" w:fill="auto"/>
            <w:noWrap/>
            <w:vAlign w:val="center"/>
          </w:tcPr>
          <w:p>
            <w:pPr>
              <w:jc w:val="center"/>
              <w:rPr>
                <w:rFonts w:ascii="仿宋_GB2312" w:hAnsi="仿宋_GB2312" w:eastAsia="仿宋_GB2312" w:cs="仿宋_GB2312"/>
                <w:sz w:val="28"/>
                <w:szCs w:val="28"/>
              </w:rPr>
            </w:pPr>
          </w:p>
        </w:tc>
        <w:tc>
          <w:tcPr>
            <w:tcW w:w="900" w:type="dxa"/>
            <w:shd w:val="clear" w:color="auto" w:fill="FFFFFF"/>
            <w:noWrap/>
            <w:vAlign w:val="center"/>
          </w:tcPr>
          <w:p>
            <w:pPr>
              <w:jc w:val="center"/>
              <w:rPr>
                <w:rFonts w:ascii="仿宋_GB2312" w:hAnsi="仿宋_GB2312" w:eastAsia="仿宋_GB2312" w:cs="仿宋_GB2312"/>
                <w:sz w:val="28"/>
                <w:szCs w:val="28"/>
              </w:rPr>
            </w:pPr>
          </w:p>
        </w:tc>
        <w:tc>
          <w:tcPr>
            <w:tcW w:w="765" w:type="dxa"/>
            <w:shd w:val="clear" w:color="auto" w:fill="FFFFFF"/>
            <w:noWrap/>
            <w:vAlign w:val="center"/>
          </w:tcPr>
          <w:p>
            <w:pPr>
              <w:jc w:val="center"/>
              <w:rPr>
                <w:rFonts w:ascii="仿宋_GB2312" w:hAnsi="仿宋_GB2312" w:eastAsia="仿宋_GB2312" w:cs="仿宋_GB2312"/>
                <w:sz w:val="28"/>
                <w:szCs w:val="28"/>
              </w:rPr>
            </w:pPr>
          </w:p>
        </w:tc>
        <w:tc>
          <w:tcPr>
            <w:tcW w:w="1995" w:type="dxa"/>
            <w:tcBorders>
              <w:left w:val="single" w:color="auto" w:sz="4" w:space="0"/>
            </w:tcBorders>
            <w:noWrap/>
            <w:vAlign w:val="center"/>
          </w:tcPr>
          <w:p>
            <w:pPr>
              <w:spacing w:line="300" w:lineRule="exact"/>
              <w:jc w:val="center"/>
              <w:rPr>
                <w:rFonts w:ascii="仿宋_GB2312" w:hAnsi="仿宋_GB2312" w:eastAsia="仿宋_GB2312" w:cs="仿宋_GB2312"/>
                <w:sz w:val="28"/>
                <w:szCs w:val="28"/>
              </w:rPr>
            </w:pPr>
          </w:p>
        </w:tc>
        <w:tc>
          <w:tcPr>
            <w:tcW w:w="1710" w:type="dxa"/>
            <w:noWrap/>
            <w:vAlign w:val="center"/>
          </w:tcPr>
          <w:p>
            <w:pPr>
              <w:spacing w:line="300"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3" w:hRule="atLeast"/>
        </w:trPr>
        <w:tc>
          <w:tcPr>
            <w:tcW w:w="8931" w:type="dxa"/>
            <w:gridSpan w:val="7"/>
            <w:noWrap/>
            <w:vAlign w:val="center"/>
          </w:tcPr>
          <w:p>
            <w:pPr>
              <w:ind w:firstLine="562"/>
              <w:rPr>
                <w:rFonts w:ascii="仿宋_GB2312" w:hAnsi="仿宋_GB2312" w:eastAsia="仿宋_GB2312" w:cs="仿宋_GB2312"/>
                <w:b/>
                <w:sz w:val="28"/>
                <w:szCs w:val="28"/>
              </w:rPr>
            </w:pPr>
            <w:r>
              <w:rPr>
                <w:rFonts w:hint="eastAsia" w:ascii="仿宋_GB2312" w:hAnsi="仿宋_GB2312" w:eastAsia="仿宋_GB2312" w:cs="仿宋_GB2312"/>
                <w:b/>
                <w:sz w:val="28"/>
                <w:szCs w:val="28"/>
              </w:rPr>
              <w:t>综合单价报价：大写元； 小写：元；</w:t>
            </w:r>
          </w:p>
          <w:p>
            <w:pPr>
              <w:spacing w:line="400" w:lineRule="exact"/>
              <w:ind w:firstLine="562"/>
              <w:rPr>
                <w:rFonts w:ascii="仿宋_GB2312" w:hAnsi="仿宋_GB2312" w:eastAsia="仿宋_GB2312" w:cs="仿宋_GB2312"/>
                <w:sz w:val="28"/>
                <w:szCs w:val="28"/>
              </w:rPr>
            </w:pPr>
            <w:r>
              <w:rPr>
                <w:rFonts w:hint="eastAsia" w:ascii="仿宋_GB2312" w:hAnsi="仿宋_GB2312" w:eastAsia="仿宋_GB2312" w:cs="仿宋_GB2312"/>
                <w:b/>
                <w:sz w:val="28"/>
                <w:szCs w:val="28"/>
              </w:rPr>
              <w:t>（填入响应函和开启一览表）</w:t>
            </w:r>
          </w:p>
        </w:tc>
      </w:tr>
    </w:tbl>
    <w:p>
      <w:pPr>
        <w:spacing w:line="400" w:lineRule="exact"/>
        <w:ind w:firstLine="420" w:firstLineChars="150"/>
        <w:rPr>
          <w:rFonts w:ascii="仿宋_GB2312" w:hAnsi="仿宋_GB2312" w:eastAsia="仿宋_GB2312" w:cs="仿宋_GB2312"/>
          <w:b/>
          <w:sz w:val="28"/>
          <w:szCs w:val="28"/>
        </w:rPr>
      </w:pPr>
      <w:r>
        <w:rPr>
          <w:rFonts w:hint="eastAsia" w:ascii="仿宋_GB2312" w:hAnsi="仿宋_GB2312" w:eastAsia="仿宋_GB2312" w:cs="仿宋_GB2312"/>
          <w:sz w:val="28"/>
          <w:szCs w:val="28"/>
          <w:lang w:val="zh-CN"/>
        </w:rPr>
        <w:t>注：1、所有响应只能选择一种方案，报价只能是唯一，且须按上表要求列出详细的分项报价。</w:t>
      </w:r>
    </w:p>
    <w:p>
      <w:pPr>
        <w:widowControl/>
        <w:spacing w:line="360" w:lineRule="auto"/>
        <w:ind w:firstLine="4480" w:firstLineChars="1600"/>
        <w:jc w:val="left"/>
        <w:rPr>
          <w:rFonts w:ascii="仿宋_GB2312" w:hAnsi="仿宋_GB2312" w:eastAsia="仿宋_GB2312" w:cs="仿宋_GB2312"/>
          <w:color w:val="000000"/>
          <w:kern w:val="0"/>
          <w:sz w:val="28"/>
          <w:szCs w:val="28"/>
        </w:rPr>
      </w:pPr>
      <w:bookmarkStart w:id="138" w:name="_Toc30008"/>
    </w:p>
    <w:p>
      <w:pPr>
        <w:widowControl/>
        <w:spacing w:line="360" w:lineRule="auto"/>
        <w:ind w:firstLine="4480" w:firstLineChars="1600"/>
        <w:jc w:val="left"/>
        <w:rPr>
          <w:rFonts w:ascii="仿宋_GB2312" w:hAnsi="仿宋_GB2312" w:eastAsia="仿宋_GB2312" w:cs="仿宋_GB2312"/>
          <w:color w:val="000000"/>
          <w:kern w:val="0"/>
          <w:sz w:val="28"/>
          <w:szCs w:val="28"/>
        </w:rPr>
      </w:pPr>
    </w:p>
    <w:p>
      <w:pPr>
        <w:widowControl/>
        <w:spacing w:line="360" w:lineRule="auto"/>
        <w:ind w:firstLine="4480" w:firstLineChars="1600"/>
        <w:jc w:val="left"/>
        <w:rPr>
          <w:rFonts w:ascii="仿宋_GB2312" w:hAnsi="仿宋_GB2312" w:eastAsia="仿宋_GB2312" w:cs="仿宋_GB2312"/>
          <w:color w:val="000000"/>
          <w:kern w:val="0"/>
          <w:sz w:val="28"/>
          <w:szCs w:val="28"/>
        </w:rPr>
      </w:pPr>
    </w:p>
    <w:p>
      <w:pPr>
        <w:widowControl/>
        <w:spacing w:line="360" w:lineRule="auto"/>
        <w:ind w:firstLine="4480" w:firstLineChars="16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xml:space="preserve">投标单位名称： （盖章） </w:t>
      </w:r>
    </w:p>
    <w:p>
      <w:pPr>
        <w:widowControl/>
        <w:spacing w:line="360" w:lineRule="auto"/>
        <w:ind w:firstLine="4480" w:firstLineChars="1600"/>
        <w:jc w:val="left"/>
      </w:pPr>
      <w:r>
        <w:rPr>
          <w:rFonts w:hint="eastAsia" w:ascii="仿宋_GB2312" w:hAnsi="仿宋_GB2312" w:eastAsia="仿宋_GB2312" w:cs="仿宋_GB2312"/>
          <w:color w:val="000000"/>
          <w:kern w:val="0"/>
          <w:sz w:val="28"/>
          <w:szCs w:val="28"/>
        </w:rPr>
        <w:t>法定代表人：（签字或盖章）</w:t>
      </w:r>
    </w:p>
    <w:p>
      <w:pPr>
        <w:ind w:firstLine="560"/>
      </w:pPr>
    </w:p>
    <w:p>
      <w:pPr>
        <w:spacing w:line="340" w:lineRule="exact"/>
        <w:jc w:val="center"/>
        <w:rPr>
          <w:sz w:val="28"/>
          <w:szCs w:val="28"/>
        </w:rPr>
      </w:pPr>
    </w:p>
    <w:p>
      <w:pPr>
        <w:spacing w:line="340" w:lineRule="exact"/>
        <w:jc w:val="center"/>
        <w:rPr>
          <w:sz w:val="28"/>
          <w:szCs w:val="28"/>
        </w:rPr>
      </w:pPr>
    </w:p>
    <w:p>
      <w:pPr>
        <w:spacing w:line="340" w:lineRule="exact"/>
        <w:jc w:val="center"/>
        <w:rPr>
          <w:sz w:val="28"/>
          <w:szCs w:val="28"/>
        </w:rPr>
      </w:pPr>
    </w:p>
    <w:p>
      <w:pPr>
        <w:spacing w:line="340" w:lineRule="exact"/>
        <w:jc w:val="center"/>
        <w:rPr>
          <w:sz w:val="28"/>
          <w:szCs w:val="28"/>
        </w:rPr>
      </w:pPr>
    </w:p>
    <w:p>
      <w:pPr>
        <w:spacing w:line="340" w:lineRule="exact"/>
        <w:jc w:val="center"/>
        <w:rPr>
          <w:sz w:val="28"/>
          <w:szCs w:val="28"/>
        </w:rPr>
      </w:pPr>
    </w:p>
    <w:p>
      <w:pPr>
        <w:spacing w:line="340" w:lineRule="exact"/>
        <w:jc w:val="center"/>
        <w:rPr>
          <w:sz w:val="28"/>
          <w:szCs w:val="28"/>
        </w:rPr>
      </w:pPr>
    </w:p>
    <w:p>
      <w:pPr>
        <w:pStyle w:val="2"/>
        <w:ind w:left="0" w:leftChars="0" w:firstLine="0" w:firstLineChars="0"/>
      </w:pPr>
    </w:p>
    <w:p>
      <w:pPr>
        <w:pStyle w:val="85"/>
        <w:ind w:firstLine="0" w:firstLineChars="0"/>
        <w:jc w:val="center"/>
        <w:rPr>
          <w:rFonts w:ascii="方正小标宋简体" w:eastAsia="方正小标宋简体"/>
          <w:bCs/>
          <w:sz w:val="36"/>
          <w:szCs w:val="36"/>
        </w:rPr>
      </w:pPr>
    </w:p>
    <w:p>
      <w:pPr>
        <w:spacing w:line="312" w:lineRule="auto"/>
        <w:ind w:firstLine="643"/>
        <w:jc w:val="center"/>
        <w:outlineLvl w:val="0"/>
        <w:rPr>
          <w:rFonts w:ascii="宋体"/>
          <w:b/>
          <w:sz w:val="32"/>
          <w:szCs w:val="32"/>
        </w:rPr>
      </w:pPr>
      <w:r>
        <w:rPr>
          <w:rFonts w:hint="eastAsia" w:ascii="宋体"/>
          <w:b/>
          <w:sz w:val="32"/>
          <w:szCs w:val="32"/>
        </w:rPr>
        <w:t>第七章   招标单位、招标代理机构对本招标文件的确认</w:t>
      </w:r>
      <w:bookmarkEnd w:id="136"/>
      <w:bookmarkEnd w:id="137"/>
      <w:bookmarkEnd w:id="138"/>
    </w:p>
    <w:p>
      <w:pPr>
        <w:spacing w:line="312" w:lineRule="auto"/>
        <w:ind w:firstLine="480"/>
        <w:rPr>
          <w:rFonts w:ascii="宋体"/>
          <w:sz w:val="24"/>
          <w:u w:val="single"/>
        </w:rPr>
      </w:pPr>
    </w:p>
    <w:bookmarkEnd w:id="0"/>
    <w:tbl>
      <w:tblPr>
        <w:tblStyle w:val="33"/>
        <w:tblW w:w="0" w:type="auto"/>
        <w:jc w:val="center"/>
        <w:tblLayout w:type="fixed"/>
        <w:tblCellMar>
          <w:top w:w="0" w:type="dxa"/>
          <w:left w:w="108" w:type="dxa"/>
          <w:bottom w:w="0" w:type="dxa"/>
          <w:right w:w="108" w:type="dxa"/>
        </w:tblCellMar>
      </w:tblPr>
      <w:tblGrid>
        <w:gridCol w:w="9606"/>
      </w:tblGrid>
      <w:tr>
        <w:tblPrEx>
          <w:tblCellMar>
            <w:top w:w="0" w:type="dxa"/>
            <w:left w:w="108" w:type="dxa"/>
            <w:bottom w:w="0" w:type="dxa"/>
            <w:right w:w="108" w:type="dxa"/>
          </w:tblCellMar>
        </w:tblPrEx>
        <w:trPr>
          <w:trHeight w:val="6219" w:hRule="atLeast"/>
          <w:jc w:val="center"/>
        </w:trPr>
        <w:tc>
          <w:tcPr>
            <w:tcW w:w="9606" w:type="dxa"/>
            <w:tcBorders>
              <w:top w:val="single" w:color="auto" w:sz="4" w:space="0"/>
              <w:left w:val="single" w:color="auto" w:sz="4" w:space="0"/>
              <w:bottom w:val="single" w:color="auto" w:sz="4" w:space="0"/>
              <w:right w:val="single" w:color="auto" w:sz="4" w:space="0"/>
            </w:tcBorders>
          </w:tcPr>
          <w:p>
            <w:pPr>
              <w:spacing w:line="312" w:lineRule="auto"/>
              <w:ind w:firstLine="560" w:firstLineChars="200"/>
              <w:rPr>
                <w:rFonts w:ascii="宋体" w:cs="宋体"/>
                <w:sz w:val="28"/>
                <w:szCs w:val="28"/>
              </w:rPr>
            </w:pPr>
          </w:p>
          <w:p>
            <w:pPr>
              <w:spacing w:afterLines="50" w:line="312" w:lineRule="auto"/>
              <w:rPr>
                <w:rFonts w:ascii="宋体" w:cs="宋体"/>
                <w:sz w:val="28"/>
                <w:szCs w:val="28"/>
              </w:rPr>
            </w:pPr>
            <w:r>
              <w:rPr>
                <w:rFonts w:hint="eastAsia" w:ascii="宋体" w:cs="宋体"/>
                <w:sz w:val="28"/>
                <w:szCs w:val="28"/>
              </w:rPr>
              <w:t>我单位对宋郢社区2024年公益广告及宣传文印项目的招标文件进行确认。</w:t>
            </w:r>
          </w:p>
          <w:p>
            <w:pPr>
              <w:spacing w:line="312" w:lineRule="auto"/>
              <w:ind w:firstLine="560" w:firstLineChars="200"/>
              <w:rPr>
                <w:rFonts w:ascii="宋体" w:cs="宋体"/>
                <w:sz w:val="28"/>
                <w:szCs w:val="28"/>
              </w:rPr>
            </w:pPr>
            <w:r>
              <w:rPr>
                <w:rFonts w:hint="eastAsia" w:ascii="宋体" w:cs="宋体"/>
                <w:sz w:val="28"/>
                <w:szCs w:val="28"/>
              </w:rPr>
              <w:t>招标单位：滁州经济技术开发区城北新区办事处宋郢社区居民委员会</w:t>
            </w:r>
          </w:p>
          <w:p>
            <w:pPr>
              <w:spacing w:line="312" w:lineRule="auto"/>
              <w:ind w:firstLine="560" w:firstLineChars="200"/>
              <w:rPr>
                <w:rFonts w:ascii="宋体" w:cs="宋体"/>
                <w:sz w:val="28"/>
                <w:szCs w:val="28"/>
              </w:rPr>
            </w:pPr>
            <w:r>
              <w:rPr>
                <w:rFonts w:hint="eastAsia" w:ascii="宋体" w:cs="宋体"/>
                <w:sz w:val="28"/>
                <w:szCs w:val="28"/>
              </w:rPr>
              <w:t>委托代理人：王登耀、马立新</w:t>
            </w:r>
          </w:p>
          <w:p>
            <w:pPr>
              <w:spacing w:line="312" w:lineRule="auto"/>
              <w:ind w:firstLine="560" w:firstLineChars="200"/>
              <w:rPr>
                <w:rFonts w:ascii="宋体" w:cs="宋体"/>
                <w:sz w:val="28"/>
                <w:szCs w:val="28"/>
              </w:rPr>
            </w:pPr>
            <w:r>
              <w:rPr>
                <w:rFonts w:hint="eastAsia" w:ascii="宋体" w:cs="宋体"/>
                <w:sz w:val="28"/>
                <w:szCs w:val="28"/>
              </w:rPr>
              <w:t>联系电话： 0550-3591311</w:t>
            </w:r>
          </w:p>
          <w:p>
            <w:pPr>
              <w:spacing w:line="312" w:lineRule="auto"/>
              <w:ind w:firstLine="5600" w:firstLineChars="2000"/>
              <w:rPr>
                <w:rFonts w:ascii="宋体" w:cs="宋体"/>
                <w:sz w:val="28"/>
                <w:szCs w:val="28"/>
              </w:rPr>
            </w:pPr>
          </w:p>
          <w:p>
            <w:pPr>
              <w:spacing w:line="312" w:lineRule="auto"/>
              <w:ind w:firstLine="5600" w:firstLineChars="2000"/>
              <w:rPr>
                <w:rFonts w:ascii="宋体" w:cs="宋体"/>
                <w:sz w:val="28"/>
                <w:szCs w:val="28"/>
              </w:rPr>
            </w:pPr>
            <w:r>
              <w:rPr>
                <w:rFonts w:hint="eastAsia" w:ascii="宋体" w:cs="宋体"/>
                <w:sz w:val="28"/>
                <w:szCs w:val="28"/>
              </w:rPr>
              <w:t>（单位盖章）</w:t>
            </w:r>
          </w:p>
          <w:p>
            <w:pPr>
              <w:spacing w:line="312" w:lineRule="auto"/>
              <w:ind w:firstLine="6300" w:firstLineChars="2250"/>
              <w:rPr>
                <w:rFonts w:ascii="宋体" w:cs="宋体"/>
                <w:sz w:val="28"/>
                <w:szCs w:val="28"/>
              </w:rPr>
            </w:pPr>
          </w:p>
          <w:p>
            <w:pPr>
              <w:spacing w:line="312" w:lineRule="auto"/>
              <w:ind w:firstLine="7000" w:firstLineChars="2500"/>
              <w:rPr>
                <w:rFonts w:ascii="宋体" w:cs="宋体"/>
                <w:sz w:val="28"/>
                <w:szCs w:val="28"/>
              </w:rPr>
            </w:pPr>
            <w:r>
              <w:rPr>
                <w:rFonts w:hint="eastAsia" w:ascii="宋体" w:cs="宋体"/>
                <w:sz w:val="28"/>
                <w:szCs w:val="28"/>
              </w:rPr>
              <w:t>2024</w:t>
            </w:r>
            <w:r>
              <w:rPr>
                <w:rFonts w:hint="eastAsia" w:ascii="宋体" w:hAnsi="宋体" w:cs="宋体"/>
                <w:sz w:val="28"/>
                <w:szCs w:val="28"/>
              </w:rPr>
              <w:t>年4月</w:t>
            </w:r>
          </w:p>
        </w:tc>
      </w:tr>
      <w:tr>
        <w:tblPrEx>
          <w:tblCellMar>
            <w:top w:w="0" w:type="dxa"/>
            <w:left w:w="108" w:type="dxa"/>
            <w:bottom w:w="0" w:type="dxa"/>
            <w:right w:w="108" w:type="dxa"/>
          </w:tblCellMar>
        </w:tblPrEx>
        <w:trPr>
          <w:trHeight w:val="4795" w:hRule="atLeast"/>
          <w:jc w:val="center"/>
        </w:trPr>
        <w:tc>
          <w:tcPr>
            <w:tcW w:w="9606" w:type="dxa"/>
            <w:tcBorders>
              <w:top w:val="single" w:color="auto" w:sz="4" w:space="0"/>
              <w:left w:val="single" w:color="auto" w:sz="4" w:space="0"/>
              <w:bottom w:val="single" w:color="auto" w:sz="4" w:space="0"/>
              <w:right w:val="single" w:color="auto" w:sz="4" w:space="0"/>
            </w:tcBorders>
          </w:tcPr>
          <w:p>
            <w:pPr>
              <w:spacing w:line="312" w:lineRule="auto"/>
              <w:ind w:firstLine="560" w:firstLineChars="200"/>
              <w:rPr>
                <w:rFonts w:ascii="宋体" w:cs="宋体"/>
                <w:sz w:val="28"/>
                <w:szCs w:val="28"/>
              </w:rPr>
            </w:pPr>
            <w:r>
              <w:rPr>
                <w:rFonts w:hint="eastAsia" w:ascii="宋体" w:cs="宋体"/>
                <w:sz w:val="28"/>
                <w:szCs w:val="28"/>
              </w:rPr>
              <w:t>招标代理机构：安徽求是工程建设咨询有限公司</w:t>
            </w:r>
          </w:p>
          <w:p>
            <w:pPr>
              <w:spacing w:line="312" w:lineRule="auto"/>
              <w:ind w:firstLine="560" w:firstLineChars="200"/>
              <w:rPr>
                <w:rFonts w:ascii="宋体" w:cs="宋体"/>
                <w:sz w:val="28"/>
                <w:szCs w:val="28"/>
              </w:rPr>
            </w:pPr>
            <w:r>
              <w:rPr>
                <w:rFonts w:hint="eastAsia" w:ascii="宋体" w:cs="宋体"/>
                <w:sz w:val="28"/>
                <w:szCs w:val="28"/>
              </w:rPr>
              <w:t>经办人：戴婷</w:t>
            </w:r>
          </w:p>
          <w:p>
            <w:pPr>
              <w:spacing w:line="312" w:lineRule="auto"/>
              <w:ind w:firstLine="560" w:firstLineChars="200"/>
              <w:rPr>
                <w:rFonts w:ascii="宋体" w:cs="宋体"/>
                <w:sz w:val="28"/>
                <w:szCs w:val="28"/>
              </w:rPr>
            </w:pPr>
            <w:r>
              <w:rPr>
                <w:rFonts w:hint="eastAsia" w:ascii="宋体" w:cs="宋体"/>
                <w:sz w:val="28"/>
                <w:szCs w:val="28"/>
              </w:rPr>
              <w:t>电  话：18755006155</w:t>
            </w:r>
          </w:p>
          <w:p>
            <w:pPr>
              <w:spacing w:line="312" w:lineRule="auto"/>
              <w:ind w:firstLine="5460" w:firstLineChars="1950"/>
              <w:rPr>
                <w:rFonts w:ascii="宋体" w:cs="宋体"/>
                <w:sz w:val="28"/>
                <w:szCs w:val="28"/>
              </w:rPr>
            </w:pPr>
            <w:r>
              <w:rPr>
                <w:rFonts w:hint="eastAsia" w:ascii="宋体" w:cs="宋体"/>
                <w:sz w:val="28"/>
                <w:szCs w:val="28"/>
              </w:rPr>
              <w:t>（单位盖章）</w:t>
            </w:r>
          </w:p>
          <w:p>
            <w:pPr>
              <w:spacing w:line="312" w:lineRule="auto"/>
              <w:ind w:firstLine="6300" w:firstLineChars="2250"/>
              <w:rPr>
                <w:rFonts w:ascii="宋体" w:cs="宋体"/>
                <w:sz w:val="28"/>
                <w:szCs w:val="28"/>
              </w:rPr>
            </w:pPr>
          </w:p>
          <w:p>
            <w:pPr>
              <w:spacing w:line="312" w:lineRule="auto"/>
              <w:ind w:firstLine="6720" w:firstLineChars="2400"/>
              <w:rPr>
                <w:rFonts w:ascii="宋体" w:cs="宋体"/>
                <w:sz w:val="28"/>
                <w:szCs w:val="28"/>
              </w:rPr>
            </w:pPr>
            <w:r>
              <w:rPr>
                <w:rFonts w:hint="eastAsia" w:ascii="宋体" w:cs="宋体"/>
                <w:sz w:val="28"/>
                <w:szCs w:val="28"/>
              </w:rPr>
              <w:t>2024年4月</w:t>
            </w:r>
          </w:p>
        </w:tc>
      </w:tr>
    </w:tbl>
    <w:p>
      <w:pPr>
        <w:pStyle w:val="2"/>
        <w:spacing w:line="312" w:lineRule="auto"/>
        <w:ind w:left="0" w:leftChars="0" w:firstLine="0" w:firstLineChars="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40001" w:csb1="00000000"/>
  </w:font>
  <w:font w:name="DokChampa">
    <w:panose1 w:val="020B0604020202020204"/>
    <w:charset w:val="00"/>
    <w:family w:val="swiss"/>
    <w:pitch w:val="default"/>
    <w:sig w:usb0="83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tabs>
        <w:tab w:val="clear" w:pos="4153"/>
        <w:tab w:val="clear" w:pos="8306"/>
      </w:tabs>
      <w:rPr>
        <w:rStyle w:val="37"/>
      </w:rPr>
    </w:pPr>
    <w:r>
      <w:fldChar w:fldCharType="begin"/>
    </w:r>
    <w:r>
      <w:rPr>
        <w:rStyle w:val="37"/>
      </w:rPr>
      <w:instrText xml:space="preserve">PAGE  </w:instrText>
    </w:r>
    <w:r>
      <w:fldChar w:fldCharType="end"/>
    </w:r>
  </w:p>
  <w:p>
    <w:pPr>
      <w:pStyle w:val="23"/>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jc w:val="center"/>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28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81"/>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02"/>
    <w:multiLevelType w:val="multilevel"/>
    <w:tmpl w:val="00000002"/>
    <w:lvl w:ilvl="0" w:tentative="0">
      <w:start w:val="1"/>
      <w:numFmt w:val="chineseCountingThousand"/>
      <w:pStyle w:val="31"/>
      <w:lvlText w:val="%1、"/>
      <w:lvlJc w:val="left"/>
      <w:pPr>
        <w:ind w:left="420" w:hanging="420"/>
      </w:pPr>
      <w:rPr>
        <w:rFonts w:ascii="Times New Roman" w:hAnsi="Times New Roman" w:cs="Times New Roman"/>
        <w:b w:val="0"/>
        <w:bCs w:val="0"/>
        <w:i w:val="0"/>
        <w:iCs w:val="0"/>
        <w:caps w:val="0"/>
        <w:smallCaps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chineseCountingThousand"/>
      <w:pStyle w:val="91"/>
      <w:lvlText w:val="%1、"/>
      <w:lvlJc w:val="left"/>
      <w:pPr>
        <w:tabs>
          <w:tab w:val="left" w:pos="425"/>
        </w:tabs>
        <w:ind w:left="425" w:hanging="425"/>
      </w:pPr>
      <w:rPr>
        <w:rFonts w:hint="eastAsia" w:cs="Times New Roman"/>
      </w:rPr>
    </w:lvl>
    <w:lvl w:ilvl="1" w:tentative="0">
      <w:start w:val="1"/>
      <w:numFmt w:val="decimal"/>
      <w:isLgl/>
      <w:lvlText w:val="%1.%2"/>
      <w:lvlJc w:val="left"/>
      <w:pPr>
        <w:tabs>
          <w:tab w:val="left" w:pos="567"/>
        </w:tabs>
        <w:ind w:left="567" w:hanging="567"/>
      </w:pPr>
      <w:rPr>
        <w:rFonts w:hint="default" w:ascii="Arial" w:hAnsi="Arial" w:cs="Arial"/>
      </w:rPr>
    </w:lvl>
    <w:lvl w:ilvl="2" w:tentative="0">
      <w:start w:val="1"/>
      <w:numFmt w:val="decimal"/>
      <w:isLgl/>
      <w:lvlText w:val="%1.%2.%3"/>
      <w:lvlJc w:val="left"/>
      <w:pPr>
        <w:tabs>
          <w:tab w:val="left" w:pos="1069"/>
        </w:tabs>
        <w:ind w:left="1069" w:hanging="709"/>
      </w:pPr>
      <w:rPr>
        <w:rFonts w:hint="default" w:ascii="Arial" w:hAnsi="Arial" w:cs="Arial"/>
      </w:rPr>
    </w:lvl>
    <w:lvl w:ilvl="3" w:tentative="0">
      <w:start w:val="1"/>
      <w:numFmt w:val="decimal"/>
      <w:isLgl/>
      <w:lvlText w:val="%1.%2.%3.%4"/>
      <w:lvlJc w:val="left"/>
      <w:pPr>
        <w:tabs>
          <w:tab w:val="left" w:pos="1080"/>
        </w:tabs>
        <w:ind w:left="851" w:hanging="851"/>
      </w:pPr>
      <w:rPr>
        <w:rFonts w:hint="default" w:ascii="Arial" w:hAnsi="Arial" w:cs="Arial"/>
        <w:sz w:val="24"/>
        <w:szCs w:val="24"/>
      </w:rPr>
    </w:lvl>
    <w:lvl w:ilvl="4" w:tentative="0">
      <w:start w:val="1"/>
      <w:numFmt w:val="decimal"/>
      <w:isLgl/>
      <w:lvlText w:val="%1.%2.%3.%4.%5"/>
      <w:lvlJc w:val="left"/>
      <w:pPr>
        <w:tabs>
          <w:tab w:val="left" w:pos="1440"/>
        </w:tabs>
        <w:ind w:left="992" w:hanging="992"/>
      </w:pPr>
      <w:rPr>
        <w:rFonts w:hint="eastAsia" w:cs="Times New Roman"/>
      </w:rPr>
    </w:lvl>
    <w:lvl w:ilvl="5" w:tentative="0">
      <w:start w:val="1"/>
      <w:numFmt w:val="decimal"/>
      <w:isLgl/>
      <w:lvlText w:val="%1.%2.%3.%4.%5.%6"/>
      <w:lvlJc w:val="left"/>
      <w:pPr>
        <w:tabs>
          <w:tab w:val="left" w:pos="1440"/>
        </w:tabs>
        <w:ind w:left="1134" w:hanging="1134"/>
      </w:pPr>
      <w:rPr>
        <w:rFonts w:hint="eastAsia" w:cs="Times New Roman"/>
      </w:rPr>
    </w:lvl>
    <w:lvl w:ilvl="6" w:tentative="0">
      <w:start w:val="1"/>
      <w:numFmt w:val="decimal"/>
      <w:isLgl/>
      <w:lvlText w:val="%1.%2.%3.%4.%5.%6.%7"/>
      <w:lvlJc w:val="left"/>
      <w:pPr>
        <w:tabs>
          <w:tab w:val="left" w:pos="1800"/>
        </w:tabs>
        <w:ind w:left="1276" w:hanging="1276"/>
      </w:pPr>
      <w:rPr>
        <w:rFonts w:hint="eastAsia" w:cs="Times New Roman"/>
      </w:rPr>
    </w:lvl>
    <w:lvl w:ilvl="7" w:tentative="0">
      <w:start w:val="1"/>
      <w:numFmt w:val="decimal"/>
      <w:isLgl/>
      <w:lvlText w:val="%1.%2.%3.%4.%5.%6.%7.%8"/>
      <w:lvlJc w:val="left"/>
      <w:pPr>
        <w:tabs>
          <w:tab w:val="left" w:pos="1800"/>
        </w:tabs>
        <w:ind w:left="1418" w:hanging="1418"/>
      </w:pPr>
      <w:rPr>
        <w:rFonts w:hint="eastAsia" w:cs="Times New Roman"/>
      </w:rPr>
    </w:lvl>
    <w:lvl w:ilvl="8" w:tentative="0">
      <w:start w:val="1"/>
      <w:numFmt w:val="decimal"/>
      <w:isLgl/>
      <w:lvlText w:val="%1.%2.%3.%4.%5.%6.%7.%8.%9"/>
      <w:lvlJc w:val="left"/>
      <w:pPr>
        <w:tabs>
          <w:tab w:val="left" w:pos="2160"/>
        </w:tabs>
        <w:ind w:left="1559" w:hanging="1559"/>
      </w:pPr>
      <w:rPr>
        <w:rFonts w:hint="eastAsia" w:cs="Times New Roman"/>
      </w:rPr>
    </w:lvl>
  </w:abstractNum>
  <w:abstractNum w:abstractNumId="3">
    <w:nsid w:val="00000004"/>
    <w:multiLevelType w:val="multilevel"/>
    <w:tmpl w:val="00000004"/>
    <w:lvl w:ilvl="0" w:tentative="0">
      <w:start w:val="1"/>
      <w:numFmt w:val="decimal"/>
      <w:lvlText w:val="%1、"/>
      <w:lvlJc w:val="left"/>
      <w:pPr>
        <w:ind w:left="371" w:hanging="360"/>
      </w:pPr>
      <w:rPr>
        <w:rFonts w:hint="default"/>
      </w:rPr>
    </w:lvl>
    <w:lvl w:ilvl="1" w:tentative="0">
      <w:start w:val="1"/>
      <w:numFmt w:val="lowerLetter"/>
      <w:pStyle w:val="6"/>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4">
    <w:nsid w:val="00000007"/>
    <w:multiLevelType w:val="multilevel"/>
    <w:tmpl w:val="00000007"/>
    <w:lvl w:ilvl="0" w:tentative="0">
      <w:start w:val="1"/>
      <w:numFmt w:val="decimal"/>
      <w:pStyle w:val="12"/>
      <w:lvlText w:val="%1"/>
      <w:lvlJc w:val="left"/>
      <w:pPr>
        <w:tabs>
          <w:tab w:val="left" w:pos="425"/>
        </w:tabs>
        <w:ind w:left="425" w:hanging="425"/>
      </w:pPr>
      <w:rPr>
        <w:rFonts w:hint="default" w:ascii="Times New Roman" w:hAnsi="Times New Roman" w:cs="Times New Roman"/>
        <w:b/>
        <w:i w:val="0"/>
        <w:sz w:val="28"/>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5">
    <w:nsid w:val="00000008"/>
    <w:multiLevelType w:val="multilevel"/>
    <w:tmpl w:val="00000008"/>
    <w:lvl w:ilvl="0" w:tentative="0">
      <w:start w:val="1"/>
      <w:numFmt w:val="decimal"/>
      <w:pStyle w:val="26"/>
      <w:lvlText w:val="%1."/>
      <w:lvlJc w:val="left"/>
      <w:pPr>
        <w:ind w:left="420" w:firstLine="0"/>
      </w:pPr>
      <w:rPr>
        <w:rFonts w:ascii="Times New Roman" w:hAnsi="Times New Roman" w:cs="Times New Roman"/>
        <w:b w:val="0"/>
        <w:bCs w:val="0"/>
        <w:i w:val="0"/>
        <w:iCs w:val="0"/>
        <w:caps w:val="0"/>
        <w:smallCaps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37503BA"/>
    <w:multiLevelType w:val="multilevel"/>
    <w:tmpl w:val="237503BA"/>
    <w:lvl w:ilvl="0" w:tentative="0">
      <w:start w:val="1"/>
      <w:numFmt w:val="japaneseCounting"/>
      <w:lvlText w:val="%1"/>
      <w:lvlJc w:val="left"/>
      <w:pPr>
        <w:ind w:left="360" w:hanging="36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0FB22A9"/>
    <w:multiLevelType w:val="multilevel"/>
    <w:tmpl w:val="40FB22A9"/>
    <w:lvl w:ilvl="0" w:tentative="0">
      <w:start w:val="1"/>
      <w:numFmt w:val="chineseCountingThousand"/>
      <w:pStyle w:val="94"/>
      <w:suff w:val="space"/>
      <w:lvlText w:val="%1、"/>
      <w:lvlJc w:val="left"/>
      <w:pPr>
        <w:ind w:left="425" w:hanging="425"/>
      </w:pPr>
      <w:rPr>
        <w:rFonts w:hint="eastAsia"/>
      </w:rPr>
    </w:lvl>
    <w:lvl w:ilvl="1" w:tentative="0">
      <w:start w:val="1"/>
      <w:numFmt w:val="decimal"/>
      <w:suff w:val="space"/>
      <w:lvlText w:val="%2、"/>
      <w:lvlJc w:val="left"/>
      <w:pPr>
        <w:ind w:left="454" w:hanging="454"/>
      </w:pPr>
      <w:rPr>
        <w:rFonts w:hint="eastAsia"/>
      </w:rPr>
    </w:lvl>
    <w:lvl w:ilvl="2" w:tentative="0">
      <w:start w:val="1"/>
      <w:numFmt w:val="decimal"/>
      <w:suff w:val="space"/>
      <w:lvlText w:val="%2.%3"/>
      <w:lvlJc w:val="left"/>
      <w:pPr>
        <w:ind w:left="454" w:hanging="454"/>
      </w:pPr>
      <w:rPr>
        <w:rFonts w:hint="default" w:ascii="Cambria" w:hAnsi="Cambria"/>
      </w:rPr>
    </w:lvl>
    <w:lvl w:ilvl="3" w:tentative="0">
      <w:start w:val="1"/>
      <w:numFmt w:val="decimal"/>
      <w:lvlText w:val="%2.%3.%4"/>
      <w:lvlJc w:val="left"/>
      <w:pPr>
        <w:ind w:left="454" w:hanging="454"/>
      </w:pPr>
      <w:rPr>
        <w:rFonts w:hint="eastAsia"/>
      </w:rPr>
    </w:lvl>
    <w:lvl w:ilvl="4" w:tentative="0">
      <w:start w:val="1"/>
      <w:numFmt w:val="decimal"/>
      <w:lvlText w:val="%2.%3.%4.%5"/>
      <w:lvlJc w:val="left"/>
      <w:pPr>
        <w:ind w:left="454" w:hanging="454"/>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8">
    <w:nsid w:val="69A7907D"/>
    <w:multiLevelType w:val="singleLevel"/>
    <w:tmpl w:val="69A7907D"/>
    <w:lvl w:ilvl="0" w:tentative="0">
      <w:start w:val="3"/>
      <w:numFmt w:val="chineseCounting"/>
      <w:suff w:val="space"/>
      <w:lvlText w:val="第%1章"/>
      <w:lvlJc w:val="left"/>
      <w:rPr>
        <w:rFonts w:hint="eastAsia"/>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M3MTNiZGY1OTViZTc1ZmI5YzdkOWY3M2E3OGNiNjEifQ=="/>
  </w:docVars>
  <w:rsids>
    <w:rsidRoot w:val="009D1002"/>
    <w:rsid w:val="00083D0B"/>
    <w:rsid w:val="000C0443"/>
    <w:rsid w:val="000C1B50"/>
    <w:rsid w:val="000C6B4D"/>
    <w:rsid w:val="00123114"/>
    <w:rsid w:val="001A0B1F"/>
    <w:rsid w:val="001D325C"/>
    <w:rsid w:val="002524A4"/>
    <w:rsid w:val="002541BD"/>
    <w:rsid w:val="00283AF8"/>
    <w:rsid w:val="002A3406"/>
    <w:rsid w:val="002E14C0"/>
    <w:rsid w:val="003253DC"/>
    <w:rsid w:val="003812F4"/>
    <w:rsid w:val="00397C90"/>
    <w:rsid w:val="003D20B4"/>
    <w:rsid w:val="00411BBC"/>
    <w:rsid w:val="004C79A3"/>
    <w:rsid w:val="00522A68"/>
    <w:rsid w:val="005249AF"/>
    <w:rsid w:val="005338DD"/>
    <w:rsid w:val="00543410"/>
    <w:rsid w:val="00570C67"/>
    <w:rsid w:val="005D52A5"/>
    <w:rsid w:val="00606053"/>
    <w:rsid w:val="007C4B19"/>
    <w:rsid w:val="00810497"/>
    <w:rsid w:val="008A47DE"/>
    <w:rsid w:val="009D1002"/>
    <w:rsid w:val="00A479AD"/>
    <w:rsid w:val="00AF6166"/>
    <w:rsid w:val="00B72824"/>
    <w:rsid w:val="00C41989"/>
    <w:rsid w:val="00C564D3"/>
    <w:rsid w:val="00C57A84"/>
    <w:rsid w:val="00CB2476"/>
    <w:rsid w:val="00CC2008"/>
    <w:rsid w:val="00DB228E"/>
    <w:rsid w:val="00DB51CB"/>
    <w:rsid w:val="00DE1CDA"/>
    <w:rsid w:val="00DE311D"/>
    <w:rsid w:val="00E32ED4"/>
    <w:rsid w:val="00E35296"/>
    <w:rsid w:val="00E3577C"/>
    <w:rsid w:val="00ED16C8"/>
    <w:rsid w:val="00ED6EA6"/>
    <w:rsid w:val="00EE0012"/>
    <w:rsid w:val="00F23980"/>
    <w:rsid w:val="03C41661"/>
    <w:rsid w:val="04713A05"/>
    <w:rsid w:val="04AD131A"/>
    <w:rsid w:val="06B07B82"/>
    <w:rsid w:val="07903EBE"/>
    <w:rsid w:val="08F11F67"/>
    <w:rsid w:val="09485D01"/>
    <w:rsid w:val="09C93C50"/>
    <w:rsid w:val="0B933850"/>
    <w:rsid w:val="0BD166B7"/>
    <w:rsid w:val="0D1F0AEE"/>
    <w:rsid w:val="0D837D9E"/>
    <w:rsid w:val="0E1E5B04"/>
    <w:rsid w:val="0EFC46DC"/>
    <w:rsid w:val="0FB104C7"/>
    <w:rsid w:val="0FF5471D"/>
    <w:rsid w:val="109A77C8"/>
    <w:rsid w:val="10DE193B"/>
    <w:rsid w:val="11CD37AC"/>
    <w:rsid w:val="11D81BE4"/>
    <w:rsid w:val="131B2827"/>
    <w:rsid w:val="13AD2AA4"/>
    <w:rsid w:val="15B014D8"/>
    <w:rsid w:val="160475A2"/>
    <w:rsid w:val="17756E50"/>
    <w:rsid w:val="177F64BF"/>
    <w:rsid w:val="17FB254A"/>
    <w:rsid w:val="18DC4807"/>
    <w:rsid w:val="1A587246"/>
    <w:rsid w:val="1AE3717F"/>
    <w:rsid w:val="1B4D1D62"/>
    <w:rsid w:val="1BA615E3"/>
    <w:rsid w:val="1BC9774E"/>
    <w:rsid w:val="1D5207E6"/>
    <w:rsid w:val="1E6A01BF"/>
    <w:rsid w:val="1EB256B9"/>
    <w:rsid w:val="1EBD51B1"/>
    <w:rsid w:val="1FEE2CD1"/>
    <w:rsid w:val="20CF18F5"/>
    <w:rsid w:val="23B478C8"/>
    <w:rsid w:val="241A2687"/>
    <w:rsid w:val="24B00AB2"/>
    <w:rsid w:val="25590733"/>
    <w:rsid w:val="272F0D49"/>
    <w:rsid w:val="27356636"/>
    <w:rsid w:val="28507D24"/>
    <w:rsid w:val="2A87172E"/>
    <w:rsid w:val="2C051222"/>
    <w:rsid w:val="2E4238C4"/>
    <w:rsid w:val="2E81687A"/>
    <w:rsid w:val="2F032695"/>
    <w:rsid w:val="2FE527DD"/>
    <w:rsid w:val="30647BF4"/>
    <w:rsid w:val="31D27108"/>
    <w:rsid w:val="323668DE"/>
    <w:rsid w:val="32EB5B22"/>
    <w:rsid w:val="336E53FD"/>
    <w:rsid w:val="338C0BF4"/>
    <w:rsid w:val="35484289"/>
    <w:rsid w:val="357B5325"/>
    <w:rsid w:val="35D4262F"/>
    <w:rsid w:val="36647152"/>
    <w:rsid w:val="36735F64"/>
    <w:rsid w:val="36C30876"/>
    <w:rsid w:val="36F9506B"/>
    <w:rsid w:val="38EC6DB4"/>
    <w:rsid w:val="3A8138B3"/>
    <w:rsid w:val="3AEC6D3F"/>
    <w:rsid w:val="3B67336F"/>
    <w:rsid w:val="3D480985"/>
    <w:rsid w:val="3D860D28"/>
    <w:rsid w:val="3E1D03FF"/>
    <w:rsid w:val="3EC00658"/>
    <w:rsid w:val="3F1B7587"/>
    <w:rsid w:val="3F272822"/>
    <w:rsid w:val="3F9134F1"/>
    <w:rsid w:val="3FEC348D"/>
    <w:rsid w:val="406515DA"/>
    <w:rsid w:val="40923879"/>
    <w:rsid w:val="4148383C"/>
    <w:rsid w:val="422044C2"/>
    <w:rsid w:val="42972743"/>
    <w:rsid w:val="42F00D2B"/>
    <w:rsid w:val="43440D5A"/>
    <w:rsid w:val="43E134B3"/>
    <w:rsid w:val="43F517C6"/>
    <w:rsid w:val="43FF29E4"/>
    <w:rsid w:val="44F509E1"/>
    <w:rsid w:val="456329A0"/>
    <w:rsid w:val="465814EC"/>
    <w:rsid w:val="4842082A"/>
    <w:rsid w:val="48930B49"/>
    <w:rsid w:val="4A3C54CA"/>
    <w:rsid w:val="4AC81C69"/>
    <w:rsid w:val="4BD5286C"/>
    <w:rsid w:val="4C0777DD"/>
    <w:rsid w:val="4D6A77A3"/>
    <w:rsid w:val="4D742261"/>
    <w:rsid w:val="4D8F5105"/>
    <w:rsid w:val="4DDC2D06"/>
    <w:rsid w:val="4E202B04"/>
    <w:rsid w:val="4F2A3B44"/>
    <w:rsid w:val="4F2E4609"/>
    <w:rsid w:val="4F6719A6"/>
    <w:rsid w:val="4F6D2965"/>
    <w:rsid w:val="5062287E"/>
    <w:rsid w:val="511133E9"/>
    <w:rsid w:val="52533430"/>
    <w:rsid w:val="53571E05"/>
    <w:rsid w:val="53E52A07"/>
    <w:rsid w:val="560D1FC4"/>
    <w:rsid w:val="57005B5D"/>
    <w:rsid w:val="5C0C7D03"/>
    <w:rsid w:val="5C9C1FF9"/>
    <w:rsid w:val="5CBD4015"/>
    <w:rsid w:val="5CDF1085"/>
    <w:rsid w:val="5D6677C8"/>
    <w:rsid w:val="5DC072A7"/>
    <w:rsid w:val="5ECD04A5"/>
    <w:rsid w:val="5EE17F2D"/>
    <w:rsid w:val="5F4A33E1"/>
    <w:rsid w:val="621414DE"/>
    <w:rsid w:val="63143471"/>
    <w:rsid w:val="63496835"/>
    <w:rsid w:val="644B748C"/>
    <w:rsid w:val="64F45489"/>
    <w:rsid w:val="652A37D1"/>
    <w:rsid w:val="66253066"/>
    <w:rsid w:val="66831750"/>
    <w:rsid w:val="672B47B9"/>
    <w:rsid w:val="678867AE"/>
    <w:rsid w:val="67C86182"/>
    <w:rsid w:val="691A26F2"/>
    <w:rsid w:val="69913902"/>
    <w:rsid w:val="6CBF05A4"/>
    <w:rsid w:val="6DA110AC"/>
    <w:rsid w:val="6E2B31F2"/>
    <w:rsid w:val="6EA33E46"/>
    <w:rsid w:val="6F684AC6"/>
    <w:rsid w:val="70D10D2F"/>
    <w:rsid w:val="70D41F3D"/>
    <w:rsid w:val="73944F9A"/>
    <w:rsid w:val="73EB2CFD"/>
    <w:rsid w:val="7526280F"/>
    <w:rsid w:val="770C2D36"/>
    <w:rsid w:val="77ED4919"/>
    <w:rsid w:val="78DC28D0"/>
    <w:rsid w:val="796304BD"/>
    <w:rsid w:val="797F6AD8"/>
    <w:rsid w:val="79985DE7"/>
    <w:rsid w:val="79AC5FC5"/>
    <w:rsid w:val="7A8A3E2F"/>
    <w:rsid w:val="7E0C2027"/>
    <w:rsid w:val="7E4707EF"/>
    <w:rsid w:val="7E6259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65"/>
    <w:autoRedefine/>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71"/>
    <w:autoRedefine/>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7">
    <w:name w:val="heading 3"/>
    <w:next w:val="1"/>
    <w:autoRedefine/>
    <w:qFormat/>
    <w:uiPriority w:val="0"/>
    <w:pPr>
      <w:keepNext/>
      <w:keepLines/>
      <w:spacing w:before="260" w:after="260" w:line="416" w:lineRule="atLeast"/>
      <w:jc w:val="both"/>
      <w:textAlignment w:val="baseline"/>
      <w:outlineLvl w:val="2"/>
    </w:pPr>
    <w:rPr>
      <w:rFonts w:ascii="Times New Roman" w:hAnsi="Times New Roman" w:eastAsia="宋体" w:cs="Times New Roman"/>
      <w:b/>
      <w:bCs/>
      <w:color w:val="000000"/>
      <w:sz w:val="32"/>
      <w:szCs w:val="32"/>
      <w:u w:color="000000"/>
      <w:lang w:val="en-US" w:eastAsia="zh-CN" w:bidi="ar-SA"/>
    </w:rPr>
  </w:style>
  <w:style w:type="paragraph" w:styleId="8">
    <w:name w:val="heading 4"/>
    <w:basedOn w:val="1"/>
    <w:next w:val="1"/>
    <w:link w:val="78"/>
    <w:autoRedefine/>
    <w:qFormat/>
    <w:uiPriority w:val="0"/>
    <w:pPr>
      <w:keepNext/>
      <w:keepLines/>
      <w:widowControl/>
      <w:spacing w:before="280" w:after="290" w:line="376" w:lineRule="atLeast"/>
      <w:textAlignment w:val="baseline"/>
      <w:outlineLvl w:val="3"/>
    </w:pPr>
    <w:rPr>
      <w:rFonts w:ascii="Arial" w:hAnsi="Arial" w:eastAsia="黑体"/>
      <w:b/>
      <w:bCs/>
      <w:color w:val="000000"/>
      <w:kern w:val="0"/>
      <w:sz w:val="28"/>
      <w:szCs w:val="28"/>
      <w:u w:color="000000"/>
    </w:rPr>
  </w:style>
  <w:style w:type="paragraph" w:styleId="9">
    <w:name w:val="heading 5"/>
    <w:basedOn w:val="1"/>
    <w:next w:val="1"/>
    <w:link w:val="58"/>
    <w:autoRedefine/>
    <w:qFormat/>
    <w:uiPriority w:val="0"/>
    <w:pPr>
      <w:keepNext/>
      <w:keepLines/>
      <w:spacing w:before="280" w:after="290" w:line="376" w:lineRule="auto"/>
      <w:outlineLvl w:val="4"/>
    </w:pPr>
    <w:rPr>
      <w:b/>
      <w:bCs/>
      <w:sz w:val="28"/>
      <w:szCs w:val="28"/>
    </w:rPr>
  </w:style>
  <w:style w:type="paragraph" w:styleId="10">
    <w:name w:val="heading 6"/>
    <w:basedOn w:val="1"/>
    <w:next w:val="1"/>
    <w:link w:val="53"/>
    <w:autoRedefine/>
    <w:qFormat/>
    <w:uiPriority w:val="0"/>
    <w:pPr>
      <w:keepNext/>
      <w:keepLines/>
      <w:spacing w:before="240" w:after="64" w:line="320" w:lineRule="auto"/>
      <w:outlineLvl w:val="5"/>
    </w:pPr>
    <w:rPr>
      <w:rFonts w:ascii="Cambria" w:hAnsi="Cambria"/>
      <w:b/>
      <w:bCs/>
      <w:sz w:val="24"/>
    </w:rPr>
  </w:style>
  <w:style w:type="paragraph" w:styleId="11">
    <w:name w:val="heading 7"/>
    <w:basedOn w:val="1"/>
    <w:next w:val="1"/>
    <w:link w:val="74"/>
    <w:autoRedefine/>
    <w:qFormat/>
    <w:uiPriority w:val="0"/>
    <w:pPr>
      <w:keepNext/>
      <w:keepLines/>
      <w:spacing w:before="240" w:after="64" w:line="320" w:lineRule="auto"/>
      <w:outlineLvl w:val="6"/>
    </w:pPr>
    <w:rPr>
      <w:b/>
      <w:bCs/>
      <w:sz w:val="24"/>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55"/>
    <w:autoRedefine/>
    <w:qFormat/>
    <w:uiPriority w:val="0"/>
    <w:pPr>
      <w:ind w:left="420" w:firstLine="420" w:firstLineChars="200"/>
    </w:pPr>
  </w:style>
  <w:style w:type="paragraph" w:styleId="3">
    <w:name w:val="Body Text Indent"/>
    <w:basedOn w:val="1"/>
    <w:next w:val="4"/>
    <w:link w:val="56"/>
    <w:autoRedefine/>
    <w:qFormat/>
    <w:uiPriority w:val="0"/>
    <w:pPr>
      <w:spacing w:after="120"/>
      <w:ind w:left="200" w:leftChars="200"/>
    </w:pPr>
  </w:style>
  <w:style w:type="paragraph" w:styleId="4">
    <w:name w:val="envelope return"/>
    <w:basedOn w:val="1"/>
    <w:autoRedefine/>
    <w:qFormat/>
    <w:uiPriority w:val="0"/>
    <w:pPr>
      <w:snapToGrid w:val="0"/>
    </w:pPr>
    <w:rPr>
      <w:rFonts w:ascii="Arial" w:hAnsi="Arial"/>
    </w:rPr>
  </w:style>
  <w:style w:type="paragraph" w:styleId="12">
    <w:name w:val="List Number 2"/>
    <w:basedOn w:val="1"/>
    <w:autoRedefine/>
    <w:qFormat/>
    <w:uiPriority w:val="0"/>
    <w:pPr>
      <w:numPr>
        <w:ilvl w:val="0"/>
        <w:numId w:val="2"/>
      </w:numPr>
      <w:tabs>
        <w:tab w:val="left" w:pos="567"/>
      </w:tabs>
      <w:adjustRightInd w:val="0"/>
      <w:spacing w:line="300" w:lineRule="auto"/>
      <w:textAlignment w:val="baseline"/>
    </w:pPr>
    <w:rPr>
      <w:kern w:val="0"/>
      <w:sz w:val="28"/>
      <w:szCs w:val="20"/>
    </w:rPr>
  </w:style>
  <w:style w:type="paragraph" w:styleId="13">
    <w:name w:val="Normal Indent"/>
    <w:basedOn w:val="1"/>
    <w:autoRedefine/>
    <w:qFormat/>
    <w:uiPriority w:val="0"/>
    <w:pPr>
      <w:adjustRightInd w:val="0"/>
      <w:spacing w:line="360" w:lineRule="atLeast"/>
      <w:ind w:firstLine="482"/>
      <w:textAlignment w:val="baseline"/>
    </w:pPr>
    <w:rPr>
      <w:kern w:val="0"/>
      <w:sz w:val="24"/>
      <w:szCs w:val="20"/>
    </w:rPr>
  </w:style>
  <w:style w:type="paragraph" w:styleId="14">
    <w:name w:val="annotation text"/>
    <w:basedOn w:val="1"/>
    <w:link w:val="67"/>
    <w:autoRedefine/>
    <w:qFormat/>
    <w:uiPriority w:val="99"/>
    <w:pPr>
      <w:jc w:val="left"/>
    </w:pPr>
  </w:style>
  <w:style w:type="paragraph" w:styleId="15">
    <w:name w:val="Body Text 3"/>
    <w:basedOn w:val="1"/>
    <w:autoRedefine/>
    <w:qFormat/>
    <w:uiPriority w:val="0"/>
    <w:rPr>
      <w:rFonts w:ascii="宋体"/>
      <w:sz w:val="24"/>
      <w:szCs w:val="20"/>
    </w:rPr>
  </w:style>
  <w:style w:type="paragraph" w:styleId="16">
    <w:name w:val="Body Text"/>
    <w:basedOn w:val="1"/>
    <w:next w:val="1"/>
    <w:autoRedefine/>
    <w:qFormat/>
    <w:uiPriority w:val="0"/>
    <w:pPr>
      <w:spacing w:after="120"/>
    </w:pPr>
  </w:style>
  <w:style w:type="paragraph" w:styleId="17">
    <w:name w:val="Block Text"/>
    <w:basedOn w:val="1"/>
    <w:autoRedefine/>
    <w:qFormat/>
    <w:uiPriority w:val="0"/>
    <w:pPr>
      <w:spacing w:after="120"/>
      <w:ind w:left="1440" w:leftChars="700" w:right="1440" w:rightChars="700"/>
    </w:pPr>
  </w:style>
  <w:style w:type="paragraph" w:styleId="18">
    <w:name w:val="toc 3"/>
    <w:basedOn w:val="1"/>
    <w:next w:val="1"/>
    <w:autoRedefine/>
    <w:qFormat/>
    <w:uiPriority w:val="39"/>
    <w:pPr>
      <w:tabs>
        <w:tab w:val="right" w:leader="dot" w:pos="9288"/>
      </w:tabs>
      <w:ind w:left="400" w:leftChars="400"/>
    </w:pPr>
    <w:rPr>
      <w:rFonts w:ascii="宋体"/>
    </w:rPr>
  </w:style>
  <w:style w:type="paragraph" w:styleId="19">
    <w:name w:val="Plain Text"/>
    <w:basedOn w:val="1"/>
    <w:link w:val="72"/>
    <w:autoRedefine/>
    <w:qFormat/>
    <w:uiPriority w:val="0"/>
    <w:rPr>
      <w:rFonts w:ascii="宋体"/>
      <w:color w:val="000000"/>
      <w:szCs w:val="20"/>
      <w:u w:color="000000"/>
    </w:rPr>
  </w:style>
  <w:style w:type="paragraph" w:styleId="20">
    <w:name w:val="Date"/>
    <w:basedOn w:val="1"/>
    <w:next w:val="1"/>
    <w:link w:val="51"/>
    <w:autoRedefine/>
    <w:qFormat/>
    <w:uiPriority w:val="0"/>
    <w:rPr>
      <w:rFonts w:ascii="Arial" w:hAnsi="Arial" w:eastAsia="仿宋_GB2312"/>
      <w:color w:val="000000"/>
      <w:sz w:val="32"/>
      <w:szCs w:val="20"/>
      <w:u w:color="000000"/>
    </w:rPr>
  </w:style>
  <w:style w:type="paragraph" w:styleId="21">
    <w:name w:val="Body Text Indent 2"/>
    <w:basedOn w:val="1"/>
    <w:link w:val="76"/>
    <w:autoRedefine/>
    <w:qFormat/>
    <w:uiPriority w:val="0"/>
    <w:pPr>
      <w:spacing w:after="120" w:line="480" w:lineRule="auto"/>
      <w:ind w:left="420" w:leftChars="200"/>
    </w:pPr>
  </w:style>
  <w:style w:type="paragraph" w:styleId="22">
    <w:name w:val="Balloon Text"/>
    <w:basedOn w:val="1"/>
    <w:link w:val="77"/>
    <w:autoRedefine/>
    <w:qFormat/>
    <w:uiPriority w:val="0"/>
    <w:rPr>
      <w:sz w:val="18"/>
      <w:szCs w:val="18"/>
    </w:rPr>
  </w:style>
  <w:style w:type="paragraph" w:styleId="23">
    <w:name w:val="footer"/>
    <w:basedOn w:val="1"/>
    <w:link w:val="73"/>
    <w:autoRedefine/>
    <w:qFormat/>
    <w:uiPriority w:val="0"/>
    <w:pPr>
      <w:tabs>
        <w:tab w:val="center" w:pos="4153"/>
        <w:tab w:val="right" w:pos="8306"/>
      </w:tabs>
      <w:snapToGrid w:val="0"/>
      <w:jc w:val="left"/>
    </w:pPr>
    <w:rPr>
      <w:sz w:val="18"/>
      <w:szCs w:val="18"/>
    </w:rPr>
  </w:style>
  <w:style w:type="paragraph" w:styleId="2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39"/>
  </w:style>
  <w:style w:type="paragraph" w:styleId="26">
    <w:name w:val="Subtitle"/>
    <w:basedOn w:val="1"/>
    <w:next w:val="1"/>
    <w:autoRedefine/>
    <w:qFormat/>
    <w:uiPriority w:val="0"/>
    <w:pPr>
      <w:numPr>
        <w:ilvl w:val="0"/>
        <w:numId w:val="3"/>
      </w:numPr>
      <w:spacing w:line="360" w:lineRule="auto"/>
      <w:jc w:val="left"/>
      <w:outlineLvl w:val="1"/>
    </w:pPr>
    <w:rPr>
      <w:rFonts w:ascii="Calibri Light" w:hAnsi="Calibri Light"/>
      <w:bCs/>
      <w:kern w:val="28"/>
      <w:szCs w:val="32"/>
    </w:rPr>
  </w:style>
  <w:style w:type="paragraph" w:styleId="27">
    <w:name w:val="List"/>
    <w:basedOn w:val="1"/>
    <w:next w:val="1"/>
    <w:autoRedefine/>
    <w:qFormat/>
    <w:uiPriority w:val="0"/>
    <w:pPr>
      <w:ind w:left="420" w:hanging="420"/>
    </w:pPr>
  </w:style>
  <w:style w:type="paragraph" w:styleId="28">
    <w:name w:val="toc 2"/>
    <w:basedOn w:val="1"/>
    <w:next w:val="1"/>
    <w:autoRedefine/>
    <w:qFormat/>
    <w:uiPriority w:val="39"/>
    <w:pPr>
      <w:ind w:left="200" w:leftChars="200"/>
    </w:pPr>
  </w:style>
  <w:style w:type="paragraph" w:styleId="29">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0">
    <w:name w:val="Normal (Web)"/>
    <w:basedOn w:val="1"/>
    <w:next w:val="1"/>
    <w:autoRedefine/>
    <w:qFormat/>
    <w:uiPriority w:val="0"/>
    <w:pPr>
      <w:widowControl/>
      <w:spacing w:before="100" w:beforeAutospacing="1" w:after="100" w:afterAutospacing="1"/>
      <w:jc w:val="left"/>
    </w:pPr>
    <w:rPr>
      <w:rFonts w:ascii="宋体" w:hAnsi="宋体" w:cs="宋体"/>
      <w:kern w:val="0"/>
      <w:sz w:val="24"/>
    </w:rPr>
  </w:style>
  <w:style w:type="paragraph" w:styleId="31">
    <w:name w:val="Title"/>
    <w:basedOn w:val="1"/>
    <w:next w:val="1"/>
    <w:autoRedefine/>
    <w:qFormat/>
    <w:uiPriority w:val="0"/>
    <w:pPr>
      <w:numPr>
        <w:ilvl w:val="0"/>
        <w:numId w:val="4"/>
      </w:numPr>
      <w:spacing w:line="360" w:lineRule="auto"/>
      <w:jc w:val="left"/>
      <w:outlineLvl w:val="0"/>
    </w:pPr>
    <w:rPr>
      <w:rFonts w:ascii="Cambria" w:hAnsi="Cambria"/>
      <w:b/>
      <w:bCs/>
      <w:sz w:val="28"/>
      <w:szCs w:val="32"/>
    </w:rPr>
  </w:style>
  <w:style w:type="paragraph" w:styleId="32">
    <w:name w:val="annotation subject"/>
    <w:basedOn w:val="14"/>
    <w:next w:val="14"/>
    <w:link w:val="54"/>
    <w:autoRedefine/>
    <w:qFormat/>
    <w:uiPriority w:val="0"/>
    <w:rPr>
      <w:b/>
      <w:bCs/>
    </w:rPr>
  </w:style>
  <w:style w:type="table" w:styleId="34">
    <w:name w:val="Table Grid"/>
    <w:basedOn w:val="3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autoRedefine/>
    <w:qFormat/>
    <w:uiPriority w:val="0"/>
    <w:rPr>
      <w:b/>
    </w:rPr>
  </w:style>
  <w:style w:type="character" w:styleId="37">
    <w:name w:val="page number"/>
    <w:basedOn w:val="35"/>
    <w:autoRedefine/>
    <w:qFormat/>
    <w:uiPriority w:val="0"/>
  </w:style>
  <w:style w:type="character" w:styleId="38">
    <w:name w:val="FollowedHyperlink"/>
    <w:autoRedefine/>
    <w:qFormat/>
    <w:uiPriority w:val="0"/>
    <w:rPr>
      <w:color w:val="333333"/>
      <w:u w:val="none"/>
    </w:rPr>
  </w:style>
  <w:style w:type="character" w:styleId="39">
    <w:name w:val="Emphasis"/>
    <w:autoRedefine/>
    <w:qFormat/>
    <w:uiPriority w:val="20"/>
    <w:rPr>
      <w:i/>
      <w:iCs/>
    </w:rPr>
  </w:style>
  <w:style w:type="character" w:styleId="40">
    <w:name w:val="HTML Definition"/>
    <w:autoRedefine/>
    <w:qFormat/>
    <w:uiPriority w:val="0"/>
  </w:style>
  <w:style w:type="character" w:styleId="41">
    <w:name w:val="HTML Typewriter"/>
    <w:autoRedefine/>
    <w:qFormat/>
    <w:uiPriority w:val="0"/>
    <w:rPr>
      <w:rFonts w:hint="default" w:ascii="monospace" w:hAnsi="monospace" w:eastAsia="monospace" w:cs="monospace"/>
      <w:sz w:val="20"/>
    </w:rPr>
  </w:style>
  <w:style w:type="character" w:styleId="42">
    <w:name w:val="HTML Acronym"/>
    <w:basedOn w:val="35"/>
    <w:autoRedefine/>
    <w:qFormat/>
    <w:uiPriority w:val="0"/>
  </w:style>
  <w:style w:type="character" w:styleId="43">
    <w:name w:val="HTML Variable"/>
    <w:autoRedefine/>
    <w:qFormat/>
    <w:uiPriority w:val="0"/>
  </w:style>
  <w:style w:type="character" w:styleId="44">
    <w:name w:val="Hyperlink"/>
    <w:autoRedefine/>
    <w:qFormat/>
    <w:uiPriority w:val="99"/>
    <w:rPr>
      <w:color w:val="333333"/>
      <w:u w:val="none"/>
    </w:rPr>
  </w:style>
  <w:style w:type="character" w:styleId="45">
    <w:name w:val="HTML Code"/>
    <w:autoRedefine/>
    <w:qFormat/>
    <w:uiPriority w:val="0"/>
    <w:rPr>
      <w:rFonts w:hint="default" w:ascii="monospace" w:hAnsi="monospace" w:eastAsia="monospace" w:cs="monospace"/>
      <w:sz w:val="20"/>
    </w:rPr>
  </w:style>
  <w:style w:type="character" w:styleId="46">
    <w:name w:val="annotation reference"/>
    <w:autoRedefine/>
    <w:qFormat/>
    <w:uiPriority w:val="99"/>
    <w:rPr>
      <w:sz w:val="21"/>
      <w:szCs w:val="21"/>
    </w:rPr>
  </w:style>
  <w:style w:type="character" w:styleId="47">
    <w:name w:val="HTML Cite"/>
    <w:autoRedefine/>
    <w:qFormat/>
    <w:uiPriority w:val="0"/>
  </w:style>
  <w:style w:type="character" w:styleId="48">
    <w:name w:val="HTML Keyboard"/>
    <w:autoRedefine/>
    <w:qFormat/>
    <w:uiPriority w:val="0"/>
    <w:rPr>
      <w:rFonts w:hint="default" w:ascii="monospace" w:hAnsi="monospace" w:eastAsia="monospace" w:cs="monospace"/>
      <w:sz w:val="20"/>
    </w:rPr>
  </w:style>
  <w:style w:type="character" w:styleId="49">
    <w:name w:val="HTML Sample"/>
    <w:autoRedefine/>
    <w:qFormat/>
    <w:uiPriority w:val="0"/>
    <w:rPr>
      <w:rFonts w:ascii="monospace" w:hAnsi="monospace" w:eastAsia="monospace" w:cs="monospace"/>
    </w:rPr>
  </w:style>
  <w:style w:type="paragraph" w:customStyle="1" w:styleId="50">
    <w:name w:val="表格文字"/>
    <w:basedOn w:val="1"/>
    <w:autoRedefine/>
    <w:qFormat/>
    <w:uiPriority w:val="0"/>
    <w:pPr>
      <w:spacing w:before="25" w:after="25"/>
      <w:jc w:val="left"/>
    </w:pPr>
    <w:rPr>
      <w:bCs/>
      <w:spacing w:val="10"/>
      <w:kern w:val="0"/>
      <w:sz w:val="24"/>
      <w:szCs w:val="20"/>
    </w:rPr>
  </w:style>
  <w:style w:type="character" w:customStyle="1" w:styleId="51">
    <w:name w:val="日期 Char"/>
    <w:link w:val="20"/>
    <w:autoRedefine/>
    <w:qFormat/>
    <w:uiPriority w:val="0"/>
    <w:rPr>
      <w:rFonts w:ascii="Arial" w:hAnsi="Arial" w:eastAsia="仿宋_GB2312"/>
      <w:color w:val="000000"/>
      <w:kern w:val="2"/>
      <w:sz w:val="32"/>
      <w:u w:color="000000"/>
    </w:rPr>
  </w:style>
  <w:style w:type="character" w:customStyle="1" w:styleId="52">
    <w:name w:val="19"/>
    <w:autoRedefine/>
    <w:qFormat/>
    <w:uiPriority w:val="0"/>
    <w:rPr>
      <w:rFonts w:hint="eastAsia" w:ascii="宋体" w:hAnsi="宋体" w:eastAsia="宋体"/>
      <w:color w:val="000000"/>
      <w:sz w:val="20"/>
      <w:szCs w:val="20"/>
    </w:rPr>
  </w:style>
  <w:style w:type="character" w:customStyle="1" w:styleId="53">
    <w:name w:val="标题 6 Char"/>
    <w:link w:val="10"/>
    <w:autoRedefine/>
    <w:qFormat/>
    <w:uiPriority w:val="0"/>
    <w:rPr>
      <w:rFonts w:ascii="Cambria" w:hAnsi="Cambria" w:eastAsia="宋体" w:cs="Times New Roman"/>
      <w:b/>
      <w:bCs/>
      <w:kern w:val="2"/>
      <w:sz w:val="24"/>
      <w:szCs w:val="24"/>
    </w:rPr>
  </w:style>
  <w:style w:type="character" w:customStyle="1" w:styleId="54">
    <w:name w:val="批注主题 Char"/>
    <w:link w:val="32"/>
    <w:autoRedefine/>
    <w:qFormat/>
    <w:uiPriority w:val="0"/>
    <w:rPr>
      <w:b/>
      <w:bCs/>
      <w:kern w:val="2"/>
      <w:sz w:val="21"/>
      <w:szCs w:val="24"/>
    </w:rPr>
  </w:style>
  <w:style w:type="character" w:customStyle="1" w:styleId="55">
    <w:name w:val="正文首行缩进 2 Char"/>
    <w:basedOn w:val="56"/>
    <w:link w:val="2"/>
    <w:autoRedefine/>
    <w:qFormat/>
    <w:uiPriority w:val="0"/>
    <w:rPr>
      <w:kern w:val="2"/>
      <w:sz w:val="21"/>
      <w:szCs w:val="24"/>
    </w:rPr>
  </w:style>
  <w:style w:type="character" w:customStyle="1" w:styleId="56">
    <w:name w:val="正文文本缩进 Char"/>
    <w:link w:val="3"/>
    <w:autoRedefine/>
    <w:qFormat/>
    <w:uiPriority w:val="0"/>
    <w:rPr>
      <w:kern w:val="2"/>
      <w:sz w:val="21"/>
      <w:szCs w:val="24"/>
    </w:rPr>
  </w:style>
  <w:style w:type="character" w:customStyle="1" w:styleId="57">
    <w:name w:val="apple-converted-space"/>
    <w:basedOn w:val="35"/>
    <w:autoRedefine/>
    <w:qFormat/>
    <w:uiPriority w:val="0"/>
  </w:style>
  <w:style w:type="character" w:customStyle="1" w:styleId="58">
    <w:name w:val="标题 5 Char"/>
    <w:link w:val="9"/>
    <w:autoRedefine/>
    <w:qFormat/>
    <w:uiPriority w:val="0"/>
    <w:rPr>
      <w:b/>
      <w:bCs/>
      <w:kern w:val="2"/>
      <w:sz w:val="28"/>
      <w:szCs w:val="28"/>
    </w:rPr>
  </w:style>
  <w:style w:type="character" w:customStyle="1" w:styleId="59">
    <w:name w:val="列出段落 Char"/>
    <w:link w:val="60"/>
    <w:autoRedefine/>
    <w:qFormat/>
    <w:uiPriority w:val="0"/>
    <w:rPr>
      <w:rFonts w:ascii="Calibri" w:hAnsi="Calibri" w:eastAsia="宋体"/>
      <w:kern w:val="2"/>
      <w:sz w:val="21"/>
      <w:szCs w:val="22"/>
      <w:lang w:val="en-US" w:eastAsia="zh-CN" w:bidi="ar-SA"/>
    </w:rPr>
  </w:style>
  <w:style w:type="paragraph" w:customStyle="1" w:styleId="60">
    <w:name w:val="List Paragraph1"/>
    <w:basedOn w:val="1"/>
    <w:link w:val="59"/>
    <w:autoRedefine/>
    <w:qFormat/>
    <w:uiPriority w:val="0"/>
    <w:pPr>
      <w:spacing w:line="312" w:lineRule="auto"/>
      <w:ind w:firstLine="420" w:firstLineChars="200"/>
    </w:pPr>
    <w:rPr>
      <w:rFonts w:ascii="Calibri" w:hAnsi="Calibri"/>
      <w:szCs w:val="22"/>
    </w:rPr>
  </w:style>
  <w:style w:type="character" w:customStyle="1" w:styleId="61">
    <w:name w:val="图表 Char"/>
    <w:link w:val="62"/>
    <w:autoRedefine/>
    <w:qFormat/>
    <w:uiPriority w:val="0"/>
    <w:rPr>
      <w:kern w:val="2"/>
      <w:sz w:val="21"/>
      <w:szCs w:val="21"/>
      <w:lang w:val="en-US" w:eastAsia="zh-CN"/>
    </w:rPr>
  </w:style>
  <w:style w:type="paragraph" w:customStyle="1" w:styleId="62">
    <w:name w:val="图表"/>
    <w:basedOn w:val="1"/>
    <w:next w:val="1"/>
    <w:link w:val="61"/>
    <w:autoRedefine/>
    <w:qFormat/>
    <w:uiPriority w:val="0"/>
    <w:pPr>
      <w:jc w:val="center"/>
    </w:pPr>
    <w:rPr>
      <w:szCs w:val="21"/>
    </w:rPr>
  </w:style>
  <w:style w:type="character" w:customStyle="1" w:styleId="63">
    <w:name w:val="【正文】 Char"/>
    <w:link w:val="64"/>
    <w:autoRedefine/>
    <w:qFormat/>
    <w:uiPriority w:val="0"/>
    <w:rPr>
      <w:rFonts w:cs="DokChampa"/>
      <w:kern w:val="2"/>
      <w:sz w:val="24"/>
      <w:szCs w:val="22"/>
    </w:rPr>
  </w:style>
  <w:style w:type="paragraph" w:customStyle="1" w:styleId="64">
    <w:name w:val="【正文】"/>
    <w:basedOn w:val="1"/>
    <w:link w:val="63"/>
    <w:autoRedefine/>
    <w:qFormat/>
    <w:uiPriority w:val="0"/>
    <w:pPr>
      <w:spacing w:line="360" w:lineRule="auto"/>
      <w:ind w:firstLine="480" w:firstLineChars="200"/>
    </w:pPr>
    <w:rPr>
      <w:sz w:val="24"/>
      <w:szCs w:val="22"/>
    </w:rPr>
  </w:style>
  <w:style w:type="character" w:customStyle="1" w:styleId="65">
    <w:name w:val="标题 1 Char"/>
    <w:link w:val="5"/>
    <w:autoRedefine/>
    <w:qFormat/>
    <w:uiPriority w:val="9"/>
    <w:rPr>
      <w:b/>
      <w:bCs/>
      <w:kern w:val="44"/>
      <w:sz w:val="44"/>
      <w:szCs w:val="44"/>
    </w:rPr>
  </w:style>
  <w:style w:type="character" w:customStyle="1" w:styleId="66">
    <w:name w:val="gpa"/>
    <w:autoRedefine/>
    <w:qFormat/>
    <w:uiPriority w:val="0"/>
    <w:rPr>
      <w:rFonts w:ascii="Arial" w:hAnsi="Arial" w:cs="Arial"/>
      <w:sz w:val="15"/>
      <w:szCs w:val="15"/>
    </w:rPr>
  </w:style>
  <w:style w:type="character" w:customStyle="1" w:styleId="67">
    <w:name w:val="批注文字 Char"/>
    <w:link w:val="14"/>
    <w:autoRedefine/>
    <w:qFormat/>
    <w:uiPriority w:val="99"/>
    <w:rPr>
      <w:kern w:val="2"/>
      <w:sz w:val="21"/>
      <w:szCs w:val="24"/>
    </w:rPr>
  </w:style>
  <w:style w:type="character" w:customStyle="1" w:styleId="68">
    <w:name w:val="displayarti"/>
    <w:autoRedefine/>
    <w:qFormat/>
    <w:uiPriority w:val="0"/>
    <w:rPr>
      <w:color w:val="FFFFFF"/>
      <w:shd w:val="clear" w:color="auto" w:fill="A00000"/>
    </w:rPr>
  </w:style>
  <w:style w:type="character" w:customStyle="1" w:styleId="69">
    <w:name w:val="段落正文 字符"/>
    <w:link w:val="70"/>
    <w:autoRedefine/>
    <w:qFormat/>
    <w:uiPriority w:val="0"/>
    <w:rPr>
      <w:spacing w:val="2"/>
      <w:sz w:val="24"/>
    </w:rPr>
  </w:style>
  <w:style w:type="paragraph" w:customStyle="1" w:styleId="70">
    <w:name w:val="段落正文"/>
    <w:basedOn w:val="1"/>
    <w:link w:val="69"/>
    <w:autoRedefine/>
    <w:qFormat/>
    <w:uiPriority w:val="0"/>
    <w:pPr>
      <w:spacing w:beforeLines="50" w:line="360" w:lineRule="auto"/>
      <w:ind w:firstLine="200" w:firstLineChars="200"/>
    </w:pPr>
    <w:rPr>
      <w:spacing w:val="2"/>
      <w:kern w:val="0"/>
      <w:sz w:val="24"/>
      <w:szCs w:val="20"/>
    </w:rPr>
  </w:style>
  <w:style w:type="character" w:customStyle="1" w:styleId="71">
    <w:name w:val="标题 2 Char"/>
    <w:link w:val="6"/>
    <w:autoRedefine/>
    <w:qFormat/>
    <w:uiPriority w:val="0"/>
    <w:rPr>
      <w:sz w:val="24"/>
    </w:rPr>
  </w:style>
  <w:style w:type="character" w:customStyle="1" w:styleId="72">
    <w:name w:val="纯文本 Char"/>
    <w:link w:val="19"/>
    <w:autoRedefine/>
    <w:qFormat/>
    <w:uiPriority w:val="0"/>
    <w:rPr>
      <w:rFonts w:ascii="宋体" w:eastAsia="宋体"/>
      <w:color w:val="000000"/>
      <w:kern w:val="2"/>
      <w:sz w:val="21"/>
      <w:u w:color="000000"/>
      <w:lang w:val="en-US" w:eastAsia="zh-CN" w:bidi="ar-SA"/>
    </w:rPr>
  </w:style>
  <w:style w:type="character" w:customStyle="1" w:styleId="73">
    <w:name w:val="页脚 Char"/>
    <w:link w:val="23"/>
    <w:autoRedefine/>
    <w:qFormat/>
    <w:uiPriority w:val="0"/>
    <w:rPr>
      <w:kern w:val="2"/>
      <w:sz w:val="18"/>
      <w:szCs w:val="18"/>
    </w:rPr>
  </w:style>
  <w:style w:type="character" w:customStyle="1" w:styleId="74">
    <w:name w:val="标题 7 Char"/>
    <w:link w:val="11"/>
    <w:autoRedefine/>
    <w:qFormat/>
    <w:uiPriority w:val="0"/>
    <w:rPr>
      <w:b/>
      <w:bCs/>
      <w:kern w:val="2"/>
      <w:sz w:val="24"/>
      <w:szCs w:val="24"/>
    </w:rPr>
  </w:style>
  <w:style w:type="character" w:customStyle="1" w:styleId="75">
    <w:name w:val="selected"/>
    <w:autoRedefine/>
    <w:qFormat/>
    <w:uiPriority w:val="0"/>
    <w:rPr>
      <w:shd w:val="clear" w:color="auto" w:fill="B00006"/>
    </w:rPr>
  </w:style>
  <w:style w:type="character" w:customStyle="1" w:styleId="76">
    <w:name w:val="正文文本缩进 2 Char"/>
    <w:link w:val="21"/>
    <w:autoRedefine/>
    <w:qFormat/>
    <w:uiPriority w:val="0"/>
    <w:rPr>
      <w:kern w:val="2"/>
      <w:sz w:val="21"/>
      <w:szCs w:val="24"/>
    </w:rPr>
  </w:style>
  <w:style w:type="character" w:customStyle="1" w:styleId="77">
    <w:name w:val="批注框文本 Char"/>
    <w:link w:val="22"/>
    <w:autoRedefine/>
    <w:qFormat/>
    <w:uiPriority w:val="0"/>
    <w:rPr>
      <w:kern w:val="2"/>
      <w:sz w:val="18"/>
      <w:szCs w:val="18"/>
    </w:rPr>
  </w:style>
  <w:style w:type="character" w:customStyle="1" w:styleId="78">
    <w:name w:val="标题 4 Char"/>
    <w:link w:val="8"/>
    <w:autoRedefine/>
    <w:qFormat/>
    <w:uiPriority w:val="0"/>
    <w:rPr>
      <w:rFonts w:ascii="Arial" w:hAnsi="Arial" w:eastAsia="黑体"/>
      <w:b/>
      <w:bCs/>
      <w:color w:val="000000"/>
      <w:sz w:val="28"/>
      <w:szCs w:val="28"/>
      <w:u w:color="000000"/>
      <w:lang w:val="en-US" w:eastAsia="zh-CN" w:bidi="ar-SA"/>
    </w:rPr>
  </w:style>
  <w:style w:type="character" w:customStyle="1" w:styleId="79">
    <w:name w:val="列出段落 字符"/>
    <w:autoRedefine/>
    <w:qFormat/>
    <w:uiPriority w:val="0"/>
    <w:rPr>
      <w:sz w:val="24"/>
    </w:rPr>
  </w:style>
  <w:style w:type="paragraph" w:customStyle="1" w:styleId="80">
    <w:name w:val="_Style 2"/>
    <w:basedOn w:val="1"/>
    <w:autoRedefine/>
    <w:qFormat/>
    <w:uiPriority w:val="0"/>
  </w:style>
  <w:style w:type="paragraph" w:customStyle="1" w:styleId="81">
    <w:name w:val="标题4"/>
    <w:basedOn w:val="1"/>
    <w:autoRedefine/>
    <w:qFormat/>
    <w:uiPriority w:val="0"/>
    <w:pPr>
      <w:numPr>
        <w:ilvl w:val="0"/>
        <w:numId w:val="5"/>
      </w:numPr>
      <w:spacing w:line="360" w:lineRule="auto"/>
      <w:ind w:left="720" w:leftChars="300"/>
      <w:jc w:val="left"/>
    </w:pPr>
    <w:rPr>
      <w:rFonts w:ascii="宋体" w:hAnsi="宋体"/>
      <w:sz w:val="18"/>
      <w:szCs w:val="18"/>
    </w:rPr>
  </w:style>
  <w:style w:type="paragraph" w:customStyle="1" w:styleId="82">
    <w:name w:val="Char"/>
    <w:basedOn w:val="1"/>
    <w:autoRedefine/>
    <w:qFormat/>
    <w:uiPriority w:val="0"/>
  </w:style>
  <w:style w:type="paragraph" w:customStyle="1" w:styleId="83">
    <w:name w:val="_Style 4"/>
    <w:basedOn w:val="1"/>
    <w:autoRedefine/>
    <w:qFormat/>
    <w:uiPriority w:val="34"/>
    <w:pPr>
      <w:adjustRightInd w:val="0"/>
      <w:ind w:firstLine="420" w:firstLineChars="200"/>
      <w:jc w:val="left"/>
      <w:textAlignment w:val="baseline"/>
    </w:pPr>
    <w:rPr>
      <w:kern w:val="0"/>
      <w:szCs w:val="20"/>
    </w:rPr>
  </w:style>
  <w:style w:type="paragraph" w:customStyle="1" w:styleId="84">
    <w:name w:val="Char Char Char Char"/>
    <w:basedOn w:val="1"/>
    <w:autoRedefine/>
    <w:qFormat/>
    <w:uiPriority w:val="0"/>
    <w:rPr>
      <w:rFonts w:ascii="Tahoma" w:hAnsi="Tahoma"/>
      <w:sz w:val="24"/>
      <w:szCs w:val="20"/>
    </w:rPr>
  </w:style>
  <w:style w:type="paragraph" w:styleId="85">
    <w:name w:val="List Paragraph"/>
    <w:basedOn w:val="1"/>
    <w:autoRedefine/>
    <w:qFormat/>
    <w:uiPriority w:val="0"/>
    <w:pPr>
      <w:spacing w:line="360" w:lineRule="auto"/>
      <w:ind w:firstLine="420" w:firstLineChars="200"/>
    </w:pPr>
    <w:rPr>
      <w:rFonts w:ascii="宋体" w:hAnsi="宋体" w:cs="宋体"/>
      <w:sz w:val="24"/>
    </w:rPr>
  </w:style>
  <w:style w:type="paragraph" w:customStyle="1" w:styleId="86">
    <w:name w:val="节标题"/>
    <w:basedOn w:val="1"/>
    <w:next w:val="1"/>
    <w:autoRedefine/>
    <w:qFormat/>
    <w:uiPriority w:val="0"/>
    <w:pPr>
      <w:widowControl/>
      <w:spacing w:line="289" w:lineRule="atLeast"/>
      <w:jc w:val="center"/>
      <w:textAlignment w:val="baseline"/>
    </w:pPr>
    <w:rPr>
      <w:color w:val="000000"/>
      <w:kern w:val="0"/>
      <w:sz w:val="28"/>
      <w:szCs w:val="20"/>
      <w:u w:color="000000"/>
    </w:rPr>
  </w:style>
  <w:style w:type="paragraph" w:customStyle="1" w:styleId="87">
    <w:name w:val="2"/>
    <w:basedOn w:val="1"/>
    <w:autoRedefine/>
    <w:qFormat/>
    <w:uiPriority w:val="0"/>
    <w:pPr>
      <w:widowControl/>
      <w:adjustRightInd w:val="0"/>
      <w:spacing w:line="420" w:lineRule="atLeast"/>
      <w:ind w:left="1134" w:hanging="227"/>
      <w:jc w:val="left"/>
      <w:textAlignment w:val="baseline"/>
    </w:pPr>
    <w:rPr>
      <w:rFonts w:ascii="宋体" w:hAnsi="宋体" w:cs="宋体"/>
      <w:kern w:val="0"/>
      <w:sz w:val="24"/>
      <w:szCs w:val="20"/>
    </w:rPr>
  </w:style>
  <w:style w:type="paragraph" w:customStyle="1" w:styleId="88">
    <w:name w:val="Char1"/>
    <w:basedOn w:val="1"/>
    <w:next w:val="1"/>
    <w:autoRedefine/>
    <w:qFormat/>
    <w:uiPriority w:val="0"/>
    <w:pPr>
      <w:widowControl/>
      <w:spacing w:line="360" w:lineRule="auto"/>
      <w:jc w:val="left"/>
    </w:pPr>
    <w:rPr>
      <w:kern w:val="0"/>
      <w:szCs w:val="20"/>
      <w:lang w:eastAsia="en-US"/>
    </w:rPr>
  </w:style>
  <w:style w:type="paragraph" w:customStyle="1" w:styleId="89">
    <w:name w:val="列出段落11"/>
    <w:basedOn w:val="1"/>
    <w:autoRedefine/>
    <w:qFormat/>
    <w:uiPriority w:val="0"/>
    <w:pPr>
      <w:spacing w:after="120" w:line="360" w:lineRule="auto"/>
      <w:ind w:firstLine="420" w:firstLineChars="200"/>
    </w:pPr>
    <w:rPr>
      <w:rFonts w:ascii="Calibri" w:hAnsi="Calibri"/>
      <w:szCs w:val="22"/>
    </w:rPr>
  </w:style>
  <w:style w:type="paragraph" w:customStyle="1" w:styleId="90">
    <w:name w:val="样式1"/>
    <w:basedOn w:val="1"/>
    <w:autoRedefine/>
    <w:qFormat/>
    <w:uiPriority w:val="0"/>
    <w:pPr>
      <w:spacing w:line="360" w:lineRule="auto"/>
      <w:jc w:val="center"/>
    </w:pPr>
    <w:rPr>
      <w:b/>
      <w:sz w:val="30"/>
      <w:szCs w:val="30"/>
    </w:rPr>
  </w:style>
  <w:style w:type="paragraph" w:customStyle="1" w:styleId="91">
    <w:name w:val="列表2"/>
    <w:basedOn w:val="1"/>
    <w:next w:val="1"/>
    <w:autoRedefine/>
    <w:qFormat/>
    <w:uiPriority w:val="0"/>
    <w:pPr>
      <w:numPr>
        <w:ilvl w:val="0"/>
        <w:numId w:val="6"/>
      </w:numPr>
      <w:spacing w:line="200" w:lineRule="atLeast"/>
    </w:pPr>
    <w:rPr>
      <w:rFonts w:eastAsia="仿宋"/>
      <w:sz w:val="28"/>
    </w:rPr>
  </w:style>
  <w:style w:type="paragraph" w:customStyle="1" w:styleId="92">
    <w:name w:val="p0"/>
    <w:basedOn w:val="1"/>
    <w:autoRedefine/>
    <w:qFormat/>
    <w:uiPriority w:val="0"/>
    <w:pPr>
      <w:widowControl/>
      <w:spacing w:line="365" w:lineRule="atLeast"/>
      <w:ind w:left="1"/>
      <w:textAlignment w:val="bottom"/>
    </w:pPr>
    <w:rPr>
      <w:rFonts w:ascii="Calibri" w:hAnsi="Calibri"/>
      <w:kern w:val="0"/>
      <w:sz w:val="20"/>
      <w:szCs w:val="22"/>
    </w:rPr>
  </w:style>
  <w:style w:type="paragraph" w:customStyle="1" w:styleId="93">
    <w:name w:val="列出段落2"/>
    <w:basedOn w:val="1"/>
    <w:autoRedefine/>
    <w:qFormat/>
    <w:uiPriority w:val="0"/>
    <w:pPr>
      <w:ind w:firstLine="420" w:firstLineChars="200"/>
    </w:pPr>
    <w:rPr>
      <w:rFonts w:ascii="Calibri" w:hAnsi="Calibri"/>
      <w:szCs w:val="22"/>
    </w:rPr>
  </w:style>
  <w:style w:type="paragraph" w:customStyle="1" w:styleId="94">
    <w:name w:val="（无样式）"/>
    <w:basedOn w:val="1"/>
    <w:autoRedefine/>
    <w:qFormat/>
    <w:uiPriority w:val="0"/>
    <w:pPr>
      <w:widowControl/>
      <w:numPr>
        <w:ilvl w:val="0"/>
        <w:numId w:val="7"/>
      </w:numPr>
      <w:spacing w:line="360" w:lineRule="auto"/>
      <w:ind w:firstLine="0"/>
    </w:pPr>
    <w:rPr>
      <w:sz w:val="24"/>
      <w:szCs w:val="20"/>
    </w:rPr>
  </w:style>
  <w:style w:type="paragraph" w:customStyle="1" w:styleId="95">
    <w:name w:val="列出段落1"/>
    <w:basedOn w:val="1"/>
    <w:autoRedefine/>
    <w:qFormat/>
    <w:uiPriority w:val="34"/>
    <w:pPr>
      <w:ind w:firstLine="420" w:firstLineChars="200"/>
    </w:pPr>
  </w:style>
  <w:style w:type="paragraph" w:customStyle="1" w:styleId="96">
    <w:name w:val="列表段落1"/>
    <w:basedOn w:val="1"/>
    <w:autoRedefine/>
    <w:qFormat/>
    <w:uiPriority w:val="0"/>
    <w:pPr>
      <w:spacing w:line="360" w:lineRule="auto"/>
      <w:ind w:firstLine="420"/>
    </w:pPr>
    <w:rPr>
      <w:color w:val="000000"/>
      <w:sz w:val="24"/>
      <w:szCs w:val="21"/>
    </w:rPr>
  </w:style>
  <w:style w:type="paragraph" w:customStyle="1" w:styleId="97">
    <w:name w:val="Char Char Char Char Char Char Char1 Char"/>
    <w:basedOn w:val="1"/>
    <w:autoRedefine/>
    <w:qFormat/>
    <w:uiPriority w:val="0"/>
    <w:rPr>
      <w:rFonts w:ascii="Tahoma" w:hAnsi="Tahoma"/>
      <w:sz w:val="24"/>
      <w:szCs w:val="20"/>
    </w:rPr>
  </w:style>
  <w:style w:type="paragraph" w:customStyle="1" w:styleId="98">
    <w:name w:val="标题3-副本"/>
    <w:basedOn w:val="26"/>
    <w:autoRedefine/>
    <w:qFormat/>
    <w:uiPriority w:val="0"/>
    <w:pPr>
      <w:numPr>
        <w:ilvl w:val="0"/>
        <w:numId w:val="0"/>
      </w:numPr>
      <w:ind w:left="840"/>
    </w:pPr>
  </w:style>
  <w:style w:type="paragraph" w:customStyle="1" w:styleId="99">
    <w:name w:val="修订1"/>
    <w:autoRedefine/>
    <w:qFormat/>
    <w:uiPriority w:val="99"/>
    <w:rPr>
      <w:rFonts w:ascii="Times New Roman" w:hAnsi="Times New Roman" w:eastAsia="宋体" w:cs="Times New Roman"/>
      <w:kern w:val="2"/>
      <w:sz w:val="21"/>
      <w:szCs w:val="24"/>
      <w:lang w:val="en-US" w:eastAsia="zh-CN" w:bidi="ar-SA"/>
    </w:rPr>
  </w:style>
  <w:style w:type="character" w:styleId="100">
    <w:name w:val="Placeholder Text"/>
    <w:basedOn w:val="35"/>
    <w:autoRedefine/>
    <w:qFormat/>
    <w:uiPriority w:val="99"/>
    <w:rPr>
      <w:color w:val="808080"/>
    </w:rPr>
  </w:style>
  <w:style w:type="paragraph" w:customStyle="1" w:styleId="101">
    <w:name w:val="Other|1"/>
    <w:basedOn w:val="1"/>
    <w:autoRedefine/>
    <w:qFormat/>
    <w:uiPriority w:val="0"/>
    <w:rPr>
      <w:sz w:val="15"/>
      <w:szCs w:val="15"/>
      <w:lang w:val="zh-TW" w:eastAsia="zh-TW" w:bidi="zh-TW"/>
    </w:rPr>
  </w:style>
  <w:style w:type="paragraph" w:customStyle="1" w:styleId="102">
    <w:name w:val="正文_0"/>
    <w:autoRedefine/>
    <w:qFormat/>
    <w:uiPriority w:val="0"/>
    <w:rPr>
      <w:rFonts w:ascii="Times New Roman" w:hAnsi="Times New Roman" w:eastAsia="宋体" w:cs="Times New Roman"/>
      <w:sz w:val="21"/>
      <w:szCs w:val="22"/>
      <w:lang w:val="en-US" w:eastAsia="zh-CN" w:bidi="ar-SA"/>
    </w:rPr>
  </w:style>
  <w:style w:type="paragraph" w:customStyle="1" w:styleId="103">
    <w:name w:val="普通(网站)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04">
    <w:name w:val="font21"/>
    <w:basedOn w:val="35"/>
    <w:autoRedefine/>
    <w:qFormat/>
    <w:uiPriority w:val="0"/>
    <w:rPr>
      <w:rFonts w:hint="eastAsia" w:ascii="宋体" w:hAnsi="宋体" w:eastAsia="宋体" w:cs="宋体"/>
      <w:color w:val="000000"/>
      <w:sz w:val="22"/>
      <w:szCs w:val="22"/>
      <w:u w:val="none"/>
    </w:rPr>
  </w:style>
  <w:style w:type="character" w:customStyle="1" w:styleId="105">
    <w:name w:val="font31"/>
    <w:basedOn w:val="35"/>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42</Pages>
  <Words>3263</Words>
  <Characters>18603</Characters>
  <Lines>155</Lines>
  <Paragraphs>43</Paragraphs>
  <TotalTime>4</TotalTime>
  <ScaleCrop>false</ScaleCrop>
  <LinksUpToDate>false</LinksUpToDate>
  <CharactersWithSpaces>21823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2024-03-26T01:29:00Z</dcterms:created>
  <dc:creator>陈倩倩</dc:creator>
  <cp:lastModifiedBy>墨染</cp:lastModifiedBy>
  <cp:lastPrinted>2022-05-19T03:34:00Z</cp:lastPrinted>
  <dcterms:modified xsi:type="dcterms:W3CDTF">2024-04-08T03:22:08Z</dcterms:modified>
  <dc:title>滁州市人力资源和社会保障信息中心信息网络设备采购及安装项目</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248B5BE488944E889BDC55CC5FF7907E_13</vt:lpwstr>
  </property>
</Properties>
</file>