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12" w:lineRule="auto"/>
        <w:ind w:left="-850" w:leftChars="-405" w:right="-625"/>
        <w:jc w:val="center"/>
        <w:rPr>
          <w:rFonts w:ascii="新宋体" w:hAnsi="新宋体" w:eastAsia="新宋体"/>
          <w:b/>
          <w:sz w:val="32"/>
          <w:szCs w:val="32"/>
        </w:rPr>
      </w:pPr>
      <w:bookmarkStart w:id="0" w:name="OLE_LINK1"/>
    </w:p>
    <w:p>
      <w:pPr>
        <w:widowControl/>
        <w:spacing w:line="720" w:lineRule="auto"/>
        <w:jc w:val="center"/>
        <w:rPr>
          <w:rFonts w:hint="eastAsia" w:ascii="宋体" w:hAnsi="宋体" w:eastAsia="宋体" w:cs="宋体-18030"/>
          <w:b/>
          <w:spacing w:val="-10"/>
          <w:sz w:val="48"/>
          <w:szCs w:val="48"/>
          <w:lang w:eastAsia="zh-CN"/>
        </w:rPr>
      </w:pPr>
      <w:r>
        <w:rPr>
          <w:rFonts w:hint="eastAsia" w:ascii="宋体" w:hAnsi="宋体" w:cs="宋体-18030"/>
          <w:b/>
          <w:spacing w:val="-10"/>
          <w:sz w:val="48"/>
          <w:szCs w:val="48"/>
          <w:lang w:eastAsia="zh-CN"/>
        </w:rPr>
        <w:t>滁州市同创建设投资有限责任公司2020-2022年度财务年报审计服务项目</w:t>
      </w:r>
    </w:p>
    <w:p>
      <w:pPr>
        <w:pStyle w:val="6"/>
        <w:numPr>
          <w:ilvl w:val="0"/>
          <w:numId w:val="0"/>
        </w:numPr>
        <w:spacing w:line="312" w:lineRule="auto"/>
        <w:ind w:left="851"/>
      </w:pPr>
    </w:p>
    <w:p>
      <w:pPr>
        <w:spacing w:line="312" w:lineRule="auto"/>
        <w:jc w:val="center"/>
        <w:rPr>
          <w:rFonts w:ascii="宋体" w:hAnsi="宋体"/>
          <w:b/>
          <w:sz w:val="84"/>
          <w:szCs w:val="84"/>
        </w:rPr>
      </w:pPr>
    </w:p>
    <w:p>
      <w:pPr>
        <w:spacing w:line="312" w:lineRule="auto"/>
        <w:jc w:val="center"/>
        <w:rPr>
          <w:rFonts w:ascii="宋体"/>
          <w:bCs/>
          <w:sz w:val="28"/>
          <w:szCs w:val="28"/>
        </w:rPr>
      </w:pPr>
      <w:r>
        <w:rPr>
          <w:rFonts w:hint="eastAsia" w:ascii="宋体" w:hAnsi="宋体"/>
          <w:b/>
          <w:sz w:val="84"/>
          <w:szCs w:val="84"/>
        </w:rPr>
        <w:t>交 易 文 件</w:t>
      </w:r>
    </w:p>
    <w:p>
      <w:pPr>
        <w:spacing w:line="312" w:lineRule="auto"/>
        <w:jc w:val="center"/>
        <w:rPr>
          <w:rFonts w:ascii="宋体"/>
          <w:bCs/>
          <w:sz w:val="28"/>
          <w:szCs w:val="28"/>
        </w:rPr>
      </w:pPr>
      <w:r>
        <w:rPr>
          <w:rFonts w:hint="eastAsia" w:ascii="宋体"/>
          <w:bCs/>
          <w:sz w:val="28"/>
          <w:szCs w:val="28"/>
        </w:rPr>
        <w:t>（自行公开招标）</w:t>
      </w:r>
    </w:p>
    <w:p>
      <w:pPr>
        <w:widowControl/>
        <w:wordWrap w:val="0"/>
        <w:spacing w:line="312" w:lineRule="auto"/>
        <w:ind w:firstLine="2380" w:firstLineChars="850"/>
        <w:rPr>
          <w:rFonts w:ascii="宋体"/>
          <w:bCs/>
          <w:sz w:val="28"/>
          <w:szCs w:val="28"/>
        </w:rPr>
      </w:pPr>
      <w:r>
        <w:rPr>
          <w:rFonts w:ascii="宋体"/>
          <w:bCs/>
          <w:color w:val="0000FF"/>
          <w:sz w:val="28"/>
          <w:szCs w:val="28"/>
        </w:rPr>
        <w:t xml:space="preserve">  </w:t>
      </w:r>
      <w:r>
        <w:rPr>
          <w:rFonts w:hint="eastAsia" w:ascii="宋体"/>
          <w:bCs/>
          <w:sz w:val="28"/>
          <w:szCs w:val="28"/>
        </w:rPr>
        <w:t xml:space="preserve"> </w:t>
      </w:r>
    </w:p>
    <w:p>
      <w:pPr>
        <w:widowControl/>
        <w:wordWrap w:val="0"/>
        <w:spacing w:line="312" w:lineRule="auto"/>
        <w:ind w:firstLine="2380" w:firstLineChars="850"/>
        <w:rPr>
          <w:rFonts w:ascii="宋体"/>
          <w:bCs/>
          <w:sz w:val="28"/>
          <w:szCs w:val="28"/>
        </w:rPr>
      </w:pPr>
    </w:p>
    <w:p>
      <w:pPr>
        <w:spacing w:line="312" w:lineRule="auto"/>
        <w:rPr>
          <w:rFonts w:ascii="宋体"/>
          <w:bCs/>
          <w:szCs w:val="21"/>
        </w:rPr>
      </w:pPr>
    </w:p>
    <w:p>
      <w:pPr>
        <w:spacing w:line="312" w:lineRule="auto"/>
        <w:rPr>
          <w:rFonts w:ascii="宋体"/>
          <w:bCs/>
          <w:szCs w:val="21"/>
        </w:rPr>
      </w:pPr>
    </w:p>
    <w:p>
      <w:pPr>
        <w:spacing w:line="312" w:lineRule="auto"/>
        <w:rPr>
          <w:rFonts w:ascii="宋体"/>
          <w:sz w:val="28"/>
          <w:szCs w:val="28"/>
        </w:rPr>
      </w:pPr>
    </w:p>
    <w:p>
      <w:pPr>
        <w:pStyle w:val="2"/>
      </w:pPr>
    </w:p>
    <w:p>
      <w:pPr>
        <w:pStyle w:val="7"/>
        <w:spacing w:line="312" w:lineRule="auto"/>
        <w:ind w:firstLine="0"/>
      </w:pPr>
    </w:p>
    <w:p>
      <w:pPr>
        <w:pStyle w:val="7"/>
        <w:spacing w:line="312" w:lineRule="auto"/>
      </w:pPr>
    </w:p>
    <w:p>
      <w:pPr>
        <w:pStyle w:val="7"/>
        <w:spacing w:line="312" w:lineRule="auto"/>
      </w:pPr>
    </w:p>
    <w:p>
      <w:pPr>
        <w:spacing w:before="312" w:beforeLines="100" w:after="312" w:afterLines="100" w:line="312" w:lineRule="auto"/>
        <w:jc w:val="center"/>
        <w:rPr>
          <w:rFonts w:ascii="宋体"/>
          <w:b/>
          <w:sz w:val="32"/>
          <w:szCs w:val="32"/>
        </w:rPr>
      </w:pPr>
      <w:r>
        <w:rPr>
          <w:rFonts w:hint="eastAsia" w:ascii="宋体"/>
          <w:b/>
          <w:sz w:val="32"/>
          <w:szCs w:val="32"/>
        </w:rPr>
        <w:t>招标人：</w:t>
      </w:r>
      <w:r>
        <w:rPr>
          <w:rFonts w:hint="eastAsia" w:ascii="宋体"/>
          <w:b/>
          <w:sz w:val="32"/>
          <w:szCs w:val="32"/>
          <w:u w:val="single"/>
        </w:rPr>
        <w:t xml:space="preserve"> </w:t>
      </w:r>
      <w:r>
        <w:rPr>
          <w:rFonts w:hint="eastAsia" w:ascii="宋体"/>
          <w:b/>
          <w:sz w:val="32"/>
          <w:szCs w:val="32"/>
          <w:u w:val="single"/>
          <w:lang w:eastAsia="zh-CN"/>
        </w:rPr>
        <w:t>滁州市同创建设投资有限责任公司</w:t>
      </w:r>
      <w:r>
        <w:rPr>
          <w:rFonts w:hint="eastAsia" w:ascii="宋体"/>
          <w:b/>
          <w:sz w:val="32"/>
          <w:szCs w:val="32"/>
          <w:u w:val="single"/>
        </w:rPr>
        <w:t xml:space="preserve"> </w:t>
      </w:r>
      <w:r>
        <w:rPr>
          <w:rFonts w:hint="eastAsia" w:ascii="宋体"/>
          <w:b/>
          <w:sz w:val="32"/>
          <w:szCs w:val="32"/>
        </w:rPr>
        <w:t>（盖章）</w:t>
      </w:r>
    </w:p>
    <w:p>
      <w:pPr>
        <w:spacing w:before="312" w:beforeLines="100" w:after="312" w:afterLines="100" w:line="312" w:lineRule="auto"/>
        <w:jc w:val="center"/>
        <w:rPr>
          <w:rFonts w:ascii="宋体"/>
          <w:b/>
          <w:sz w:val="32"/>
          <w:szCs w:val="32"/>
          <w:u w:val="single"/>
        </w:rPr>
      </w:pPr>
      <w:r>
        <w:rPr>
          <w:rFonts w:hint="eastAsia" w:ascii="宋体"/>
          <w:b/>
          <w:sz w:val="32"/>
          <w:szCs w:val="32"/>
        </w:rPr>
        <w:t>招标代理机构：</w:t>
      </w:r>
      <w:r>
        <w:rPr>
          <w:rFonts w:hint="eastAsia" w:ascii="宋体"/>
          <w:b/>
          <w:sz w:val="32"/>
          <w:szCs w:val="32"/>
          <w:u w:val="single"/>
        </w:rPr>
        <w:t xml:space="preserve"> 滁州市城投工程咨询管理有限公司 </w:t>
      </w:r>
      <w:r>
        <w:rPr>
          <w:rFonts w:hint="eastAsia" w:ascii="宋体"/>
          <w:b/>
          <w:sz w:val="32"/>
          <w:szCs w:val="32"/>
        </w:rPr>
        <w:t>（盖章）</w:t>
      </w:r>
    </w:p>
    <w:p>
      <w:pPr>
        <w:spacing w:before="312" w:beforeLines="100" w:after="312" w:afterLines="100" w:line="312" w:lineRule="auto"/>
        <w:jc w:val="center"/>
        <w:rPr>
          <w:rFonts w:ascii="宋体"/>
          <w:b/>
          <w:kern w:val="0"/>
          <w:sz w:val="32"/>
          <w:szCs w:val="20"/>
        </w:rPr>
      </w:pPr>
      <w:r>
        <w:rPr>
          <w:rFonts w:hint="eastAsia" w:ascii="宋体"/>
          <w:b/>
          <w:sz w:val="32"/>
          <w:szCs w:val="32"/>
          <w:u w:val="single"/>
        </w:rPr>
        <w:t>2021</w:t>
      </w:r>
      <w:r>
        <w:rPr>
          <w:rFonts w:hint="eastAsia" w:ascii="宋体"/>
          <w:b/>
          <w:sz w:val="32"/>
          <w:szCs w:val="32"/>
        </w:rPr>
        <w:t>年</w:t>
      </w:r>
      <w:r>
        <w:rPr>
          <w:rFonts w:hint="eastAsia" w:ascii="宋体"/>
          <w:b/>
          <w:sz w:val="32"/>
          <w:szCs w:val="32"/>
          <w:u w:val="single"/>
        </w:rPr>
        <w:t>4</w:t>
      </w:r>
      <w:r>
        <w:rPr>
          <w:rFonts w:hint="eastAsia" w:ascii="宋体"/>
          <w:b/>
          <w:sz w:val="32"/>
          <w:szCs w:val="32"/>
        </w:rPr>
        <w:t>月</w:t>
      </w:r>
    </w:p>
    <w:p>
      <w:pPr>
        <w:spacing w:line="312" w:lineRule="auto"/>
        <w:jc w:val="center"/>
        <w:rPr>
          <w:rStyle w:val="42"/>
          <w:rFonts w:ascii="宋体" w:hAnsi="宋体"/>
          <w:szCs w:val="21"/>
        </w:rPr>
      </w:pPr>
      <w:r>
        <w:rPr>
          <w:rFonts w:hint="eastAsia"/>
          <w:b/>
          <w:sz w:val="36"/>
        </w:rPr>
        <w:t>目  录</w:t>
      </w:r>
    </w:p>
    <w:p>
      <w:pPr>
        <w:pStyle w:val="24"/>
        <w:tabs>
          <w:tab w:val="right" w:leader="dot" w:pos="8306"/>
        </w:tabs>
        <w:outlineLvl w:val="0"/>
        <w:rPr>
          <w:rFonts w:hAnsi="宋体"/>
          <w:szCs w:val="21"/>
        </w:rPr>
      </w:pPr>
      <w:r>
        <w:rPr>
          <w:rFonts w:hint="eastAsia" w:ascii="宋体" w:hAnsi="宋体"/>
          <w:szCs w:val="21"/>
        </w:rPr>
        <w:fldChar w:fldCharType="begin"/>
      </w:r>
      <w:r>
        <w:rPr>
          <w:rStyle w:val="42"/>
          <w:rFonts w:hint="eastAsia" w:ascii="宋体" w:hAnsi="宋体"/>
          <w:szCs w:val="21"/>
        </w:rPr>
        <w:instrText xml:space="preserve"> TOC \o "1-3" \h \z \u </w:instrText>
      </w:r>
      <w:r>
        <w:rPr>
          <w:rFonts w:hint="eastAsia" w:ascii="宋体" w:hAnsi="宋体"/>
          <w:szCs w:val="21"/>
        </w:rPr>
        <w:fldChar w:fldCharType="separate"/>
      </w:r>
      <w:r>
        <w:rPr>
          <w:rFonts w:hint="eastAsia" w:ascii="宋体" w:hAnsi="宋体"/>
          <w:szCs w:val="21"/>
        </w:rPr>
        <w:fldChar w:fldCharType="begin"/>
      </w:r>
      <w:r>
        <w:rPr>
          <w:rStyle w:val="42"/>
          <w:rFonts w:hint="eastAsia" w:ascii="宋体" w:hAnsi="宋体"/>
          <w:szCs w:val="21"/>
        </w:rPr>
        <w:instrText xml:space="preserve"> TOC \o "1-3" \h \z \u </w:instrText>
      </w:r>
      <w:r>
        <w:rPr>
          <w:rFonts w:hint="eastAsia" w:ascii="宋体" w:hAnsi="宋体"/>
          <w:szCs w:val="21"/>
        </w:rPr>
        <w:fldChar w:fldCharType="separate"/>
      </w:r>
    </w:p>
    <w:p>
      <w:pPr>
        <w:pStyle w:val="24"/>
        <w:tabs>
          <w:tab w:val="right" w:leader="dot" w:pos="8306"/>
        </w:tabs>
        <w:spacing w:line="360" w:lineRule="auto"/>
        <w:rPr>
          <w:rFonts w:ascii="宋体" w:hAnsi="宋体" w:cs="宋体"/>
          <w:sz w:val="24"/>
        </w:rPr>
      </w:pPr>
      <w:r>
        <w:fldChar w:fldCharType="begin"/>
      </w:r>
      <w:r>
        <w:instrText xml:space="preserve"> HYPERLINK \l "_Toc14392" </w:instrText>
      </w:r>
      <w:r>
        <w:fldChar w:fldCharType="separate"/>
      </w:r>
      <w:r>
        <w:rPr>
          <w:rFonts w:hint="eastAsia" w:ascii="宋体" w:hAnsi="宋体" w:cs="宋体"/>
          <w:bCs/>
          <w:sz w:val="24"/>
        </w:rPr>
        <w:t>第一章 招标公告</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_Toc14392 \h </w:instrText>
      </w:r>
      <w:r>
        <w:rPr>
          <w:rFonts w:hint="eastAsia" w:ascii="宋体" w:hAnsi="宋体" w:cs="宋体"/>
          <w:sz w:val="24"/>
        </w:rPr>
        <w:fldChar w:fldCharType="separate"/>
      </w:r>
      <w:r>
        <w:rPr>
          <w:rFonts w:hint="eastAsia" w:ascii="宋体" w:hAnsi="宋体" w:cs="宋体"/>
          <w:sz w:val="24"/>
        </w:rPr>
        <w:t>1</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8306"/>
        </w:tabs>
        <w:spacing w:line="360" w:lineRule="auto"/>
        <w:rPr>
          <w:rFonts w:ascii="宋体" w:hAnsi="宋体" w:cs="宋体"/>
          <w:sz w:val="24"/>
        </w:rPr>
      </w:pPr>
      <w:r>
        <w:fldChar w:fldCharType="begin"/>
      </w:r>
      <w:r>
        <w:instrText xml:space="preserve"> HYPERLINK \l "_Toc15339" </w:instrText>
      </w:r>
      <w:r>
        <w:fldChar w:fldCharType="separate"/>
      </w:r>
      <w:r>
        <w:rPr>
          <w:rFonts w:hint="eastAsia" w:ascii="宋体" w:hAnsi="宋体" w:cs="宋体"/>
          <w:sz w:val="24"/>
        </w:rPr>
        <w:t>第二章 投标人须知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_Toc15339 \h </w:instrText>
      </w:r>
      <w:r>
        <w:rPr>
          <w:rFonts w:hint="eastAsia" w:ascii="宋体" w:hAnsi="宋体" w:cs="宋体"/>
          <w:sz w:val="24"/>
        </w:rPr>
        <w:fldChar w:fldCharType="separate"/>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"_Toc10490" </w:instrText>
      </w:r>
      <w:r>
        <w:fldChar w:fldCharType="separate"/>
      </w:r>
      <w:r>
        <w:rPr>
          <w:rFonts w:hint="eastAsia" w:ascii="宋体" w:hAnsi="宋体" w:cs="宋体"/>
          <w:sz w:val="24"/>
        </w:rPr>
        <w:t>一、投标人须知前附表</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_Toc10490 \h </w:instrText>
      </w:r>
      <w:r>
        <w:rPr>
          <w:rFonts w:hint="eastAsia" w:ascii="宋体" w:hAnsi="宋体" w:cs="宋体"/>
          <w:sz w:val="24"/>
        </w:rPr>
        <w:fldChar w:fldCharType="separate"/>
      </w:r>
      <w:r>
        <w:rPr>
          <w:rFonts w:hint="eastAsia" w:ascii="宋体" w:hAnsi="宋体" w:cs="宋体"/>
          <w:sz w:val="24"/>
        </w:rPr>
        <w:t>3</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"_Toc24747" </w:instrText>
      </w:r>
      <w:r>
        <w:fldChar w:fldCharType="separate"/>
      </w:r>
      <w:r>
        <w:rPr>
          <w:rFonts w:hint="eastAsia" w:ascii="宋体" w:hAnsi="宋体" w:cs="宋体"/>
          <w:sz w:val="24"/>
        </w:rPr>
        <w:t>二、投标人须知</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_Toc24747 \h </w:instrText>
      </w:r>
      <w:r>
        <w:rPr>
          <w:rFonts w:hint="eastAsia" w:ascii="宋体" w:hAnsi="宋体" w:cs="宋体"/>
          <w:sz w:val="24"/>
        </w:rPr>
        <w:fldChar w:fldCharType="separate"/>
      </w:r>
      <w:r>
        <w:rPr>
          <w:rFonts w:hint="eastAsia" w:ascii="宋体" w:hAnsi="宋体" w:cs="宋体"/>
          <w:sz w:val="24"/>
        </w:rPr>
        <w:t>6</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"_Toc23599" </w:instrText>
      </w:r>
      <w:r>
        <w:fldChar w:fldCharType="separate"/>
      </w:r>
      <w:r>
        <w:rPr>
          <w:rFonts w:hint="eastAsia" w:ascii="宋体" w:hAnsi="宋体" w:cs="宋体"/>
          <w:sz w:val="24"/>
        </w:rPr>
        <w:t>（一）总  则</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_Toc23599 \h </w:instrText>
      </w:r>
      <w:r>
        <w:rPr>
          <w:rFonts w:hint="eastAsia" w:ascii="宋体" w:hAnsi="宋体" w:cs="宋体"/>
          <w:sz w:val="24"/>
        </w:rPr>
        <w:fldChar w:fldCharType="separate"/>
      </w:r>
      <w:r>
        <w:rPr>
          <w:rFonts w:hint="eastAsia" w:ascii="宋体" w:hAnsi="宋体" w:cs="宋体"/>
          <w:sz w:val="24"/>
        </w:rPr>
        <w:t>6</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"_Toc25681" </w:instrText>
      </w:r>
      <w:r>
        <w:fldChar w:fldCharType="separate"/>
      </w:r>
      <w:r>
        <w:rPr>
          <w:rFonts w:hint="eastAsia" w:ascii="宋体" w:hAnsi="宋体" w:cs="宋体"/>
          <w:sz w:val="24"/>
        </w:rPr>
        <w:t>（二）招标文件</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_Toc25681 \h </w:instrText>
      </w:r>
      <w:r>
        <w:rPr>
          <w:rFonts w:hint="eastAsia" w:ascii="宋体" w:hAnsi="宋体" w:cs="宋体"/>
          <w:sz w:val="24"/>
        </w:rPr>
        <w:fldChar w:fldCharType="separate"/>
      </w:r>
      <w:r>
        <w:rPr>
          <w:rFonts w:hint="eastAsia" w:ascii="宋体" w:hAnsi="宋体" w:cs="宋体"/>
          <w:sz w:val="24"/>
        </w:rPr>
        <w:t>8</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"_Toc29839" </w:instrText>
      </w:r>
      <w:r>
        <w:fldChar w:fldCharType="separate"/>
      </w:r>
      <w:r>
        <w:rPr>
          <w:rFonts w:hint="eastAsia" w:ascii="宋体" w:hAnsi="宋体" w:cs="宋体"/>
          <w:sz w:val="24"/>
        </w:rPr>
        <w:t>（三）投标文件的编制</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_Toc29839 \h </w:instrText>
      </w:r>
      <w:r>
        <w:rPr>
          <w:rFonts w:hint="eastAsia" w:ascii="宋体" w:hAnsi="宋体" w:cs="宋体"/>
          <w:sz w:val="24"/>
        </w:rPr>
        <w:fldChar w:fldCharType="separate"/>
      </w:r>
      <w:r>
        <w:rPr>
          <w:rFonts w:hint="eastAsia" w:ascii="宋体" w:hAnsi="宋体" w:cs="宋体"/>
          <w:sz w:val="24"/>
        </w:rPr>
        <w:t>9</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"_Toc16341" </w:instrText>
      </w:r>
      <w:r>
        <w:fldChar w:fldCharType="separate"/>
      </w:r>
      <w:r>
        <w:rPr>
          <w:rFonts w:hint="eastAsia" w:ascii="宋体" w:hAnsi="宋体" w:cs="宋体"/>
          <w:sz w:val="24"/>
        </w:rPr>
        <w:t>（四）投标文件的密封和递交</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_Toc16341 \h </w:instrText>
      </w:r>
      <w:r>
        <w:rPr>
          <w:rFonts w:hint="eastAsia" w:ascii="宋体" w:hAnsi="宋体" w:cs="宋体"/>
          <w:sz w:val="24"/>
        </w:rPr>
        <w:fldChar w:fldCharType="separate"/>
      </w:r>
      <w:r>
        <w:rPr>
          <w:rFonts w:hint="eastAsia" w:ascii="宋体" w:hAnsi="宋体" w:cs="宋体"/>
          <w:sz w:val="24"/>
        </w:rPr>
        <w:t>10</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"_Toc18478" </w:instrText>
      </w:r>
      <w:r>
        <w:fldChar w:fldCharType="separate"/>
      </w:r>
      <w:r>
        <w:rPr>
          <w:rFonts w:hint="eastAsia" w:ascii="宋体" w:hAnsi="宋体" w:cs="宋体"/>
          <w:sz w:val="24"/>
        </w:rPr>
        <w:t>（五）开标、评标和定标</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_Toc18478 \h </w:instrText>
      </w:r>
      <w:r>
        <w:rPr>
          <w:rFonts w:hint="eastAsia" w:ascii="宋体" w:hAnsi="宋体" w:cs="宋体"/>
          <w:sz w:val="24"/>
        </w:rPr>
        <w:fldChar w:fldCharType="separate"/>
      </w:r>
      <w:r>
        <w:rPr>
          <w:rFonts w:hint="eastAsia" w:ascii="宋体" w:hAnsi="宋体" w:cs="宋体"/>
          <w:sz w:val="24"/>
        </w:rPr>
        <w:t>11</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"_Toc5652" </w:instrText>
      </w:r>
      <w:r>
        <w:fldChar w:fldCharType="separate"/>
      </w:r>
      <w:r>
        <w:rPr>
          <w:rFonts w:hint="eastAsia" w:ascii="宋体" w:hAnsi="宋体" w:cs="宋体"/>
          <w:sz w:val="24"/>
        </w:rPr>
        <w:t>（六）合同的授予</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_Toc5652 \h </w:instrText>
      </w:r>
      <w:r>
        <w:rPr>
          <w:rFonts w:hint="eastAsia" w:ascii="宋体" w:hAnsi="宋体" w:cs="宋体"/>
          <w:sz w:val="24"/>
        </w:rPr>
        <w:fldChar w:fldCharType="separate"/>
      </w:r>
      <w:r>
        <w:rPr>
          <w:rFonts w:hint="eastAsia" w:ascii="宋体" w:hAnsi="宋体" w:cs="宋体"/>
          <w:sz w:val="24"/>
        </w:rPr>
        <w:t>13</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"_Toc18242" </w:instrText>
      </w:r>
      <w:r>
        <w:fldChar w:fldCharType="separate"/>
      </w:r>
      <w:r>
        <w:rPr>
          <w:rFonts w:hint="eastAsia" w:ascii="宋体" w:hAnsi="宋体" w:cs="宋体"/>
          <w:sz w:val="24"/>
        </w:rPr>
        <w:t>（七）纪律和监督</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_Toc18242 \h </w:instrText>
      </w:r>
      <w:r>
        <w:rPr>
          <w:rFonts w:hint="eastAsia" w:ascii="宋体" w:hAnsi="宋体" w:cs="宋体"/>
          <w:sz w:val="24"/>
        </w:rPr>
        <w:fldChar w:fldCharType="separate"/>
      </w:r>
      <w:r>
        <w:rPr>
          <w:rFonts w:hint="eastAsia" w:ascii="宋体" w:hAnsi="宋体" w:cs="宋体"/>
          <w:sz w:val="24"/>
        </w:rPr>
        <w:t>14</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"_Toc13322" </w:instrText>
      </w:r>
      <w:r>
        <w:fldChar w:fldCharType="separate"/>
      </w:r>
      <w:r>
        <w:rPr>
          <w:rFonts w:hint="eastAsia" w:ascii="宋体" w:hAnsi="宋体" w:cs="宋体"/>
          <w:sz w:val="24"/>
        </w:rPr>
        <w:t>（八）质疑与投诉</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_Toc13322 \h </w:instrText>
      </w:r>
      <w:r>
        <w:rPr>
          <w:rFonts w:hint="eastAsia" w:ascii="宋体" w:hAnsi="宋体" w:cs="宋体"/>
          <w:sz w:val="24"/>
        </w:rPr>
        <w:fldChar w:fldCharType="separate"/>
      </w:r>
      <w:r>
        <w:rPr>
          <w:rFonts w:hint="eastAsia" w:ascii="宋体" w:hAnsi="宋体" w:cs="宋体"/>
          <w:sz w:val="24"/>
        </w:rPr>
        <w:t>15</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8306"/>
        </w:tabs>
        <w:spacing w:line="360" w:lineRule="auto"/>
        <w:rPr>
          <w:rFonts w:ascii="宋体" w:hAnsi="宋体" w:cs="宋体"/>
          <w:sz w:val="24"/>
        </w:rPr>
      </w:pPr>
      <w:r>
        <w:fldChar w:fldCharType="begin"/>
      </w:r>
      <w:r>
        <w:instrText xml:space="preserve"> HYPERLINK \l "_Toc14830" </w:instrText>
      </w:r>
      <w:r>
        <w:fldChar w:fldCharType="separate"/>
      </w:r>
      <w:r>
        <w:rPr>
          <w:rFonts w:hint="eastAsia" w:ascii="宋体" w:hAnsi="宋体" w:cs="宋体"/>
          <w:sz w:val="24"/>
        </w:rPr>
        <w:t>第三章 评标办法</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_Toc14830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"_Toc7167" </w:instrText>
      </w:r>
      <w:r>
        <w:fldChar w:fldCharType="separate"/>
      </w:r>
      <w:r>
        <w:rPr>
          <w:rFonts w:hint="eastAsia" w:ascii="宋体" w:hAnsi="宋体" w:cs="宋体"/>
          <w:sz w:val="24"/>
        </w:rPr>
        <w:t>一  总则</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_Toc7167 \h </w:instrText>
      </w:r>
      <w:r>
        <w:rPr>
          <w:rFonts w:hint="eastAsia" w:ascii="宋体" w:hAnsi="宋体" w:cs="宋体"/>
          <w:sz w:val="24"/>
        </w:rPr>
        <w:fldChar w:fldCharType="separate"/>
      </w:r>
      <w:r>
        <w:rPr>
          <w:rFonts w:hint="eastAsia" w:ascii="宋体" w:hAnsi="宋体" w:cs="宋体"/>
          <w:sz w:val="24"/>
        </w:rPr>
        <w:t>16</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"_Toc20801" </w:instrText>
      </w:r>
      <w:r>
        <w:fldChar w:fldCharType="separate"/>
      </w:r>
      <w:r>
        <w:rPr>
          <w:rFonts w:hint="eastAsia" w:ascii="宋体" w:hAnsi="宋体" w:cs="宋体"/>
          <w:sz w:val="24"/>
        </w:rPr>
        <w:t>二  投标文件初审</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_Toc20801 \h </w:instrText>
      </w:r>
      <w:r>
        <w:rPr>
          <w:rFonts w:hint="eastAsia" w:ascii="宋体" w:hAnsi="宋体" w:cs="宋体"/>
          <w:sz w:val="24"/>
        </w:rPr>
        <w:fldChar w:fldCharType="separate"/>
      </w:r>
      <w:r>
        <w:rPr>
          <w:rFonts w:hint="eastAsia" w:ascii="宋体" w:hAnsi="宋体" w:cs="宋体"/>
          <w:sz w:val="24"/>
        </w:rPr>
        <w:t>17</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"_Toc15113" </w:instrText>
      </w:r>
      <w:r>
        <w:fldChar w:fldCharType="separate"/>
      </w:r>
      <w:r>
        <w:rPr>
          <w:rFonts w:hint="eastAsia" w:ascii="宋体" w:hAnsi="宋体" w:cs="宋体"/>
          <w:sz w:val="24"/>
        </w:rPr>
        <w:t>三  投标文件的澄清和补正</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_Toc15113 \h </w:instrText>
      </w:r>
      <w:r>
        <w:rPr>
          <w:rFonts w:hint="eastAsia" w:ascii="宋体" w:hAnsi="宋体" w:cs="宋体"/>
          <w:sz w:val="24"/>
        </w:rPr>
        <w:fldChar w:fldCharType="separate"/>
      </w:r>
      <w:r>
        <w:rPr>
          <w:rFonts w:hint="eastAsia" w:ascii="宋体" w:hAnsi="宋体" w:cs="宋体"/>
          <w:sz w:val="24"/>
        </w:rPr>
        <w:t>18</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"_Toc19768" </w:instrText>
      </w:r>
      <w:r>
        <w:fldChar w:fldCharType="separate"/>
      </w:r>
      <w:r>
        <w:rPr>
          <w:rFonts w:hint="eastAsia" w:ascii="宋体" w:hAnsi="宋体" w:cs="宋体"/>
          <w:sz w:val="24"/>
        </w:rPr>
        <w:t>四 比较与评价</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_Toc19768 \h </w:instrText>
      </w:r>
      <w:r>
        <w:rPr>
          <w:rFonts w:hint="eastAsia" w:ascii="宋体" w:hAnsi="宋体" w:cs="宋体"/>
          <w:sz w:val="24"/>
        </w:rPr>
        <w:fldChar w:fldCharType="separate"/>
      </w:r>
      <w:r>
        <w:rPr>
          <w:rFonts w:hint="eastAsia" w:ascii="宋体" w:hAnsi="宋体" w:cs="宋体"/>
          <w:sz w:val="24"/>
        </w:rPr>
        <w:t>19</w:t>
      </w:r>
      <w:r>
        <w:rPr>
          <w:rFonts w:hint="eastAsia" w:ascii="宋体" w:hAnsi="宋体" w:cs="宋体"/>
          <w:sz w:val="24"/>
        </w:rPr>
        <w:fldChar w:fldCharType="end"/>
      </w:r>
      <w:r>
        <w:rPr>
          <w:rFonts w:hint="eastAsia" w:ascii="宋体" w:hAnsi="宋体" w:cs="宋体"/>
          <w:sz w:val="24"/>
        </w:rPr>
        <w:fldChar w:fldCharType="end"/>
      </w:r>
    </w:p>
    <w:p>
      <w:pPr>
        <w:pStyle w:val="27"/>
        <w:tabs>
          <w:tab w:val="right" w:leader="dot" w:pos="8306"/>
        </w:tabs>
        <w:spacing w:line="360" w:lineRule="auto"/>
        <w:ind w:left="420"/>
        <w:rPr>
          <w:rFonts w:ascii="宋体" w:hAnsi="宋体" w:cs="宋体"/>
          <w:sz w:val="24"/>
        </w:rPr>
      </w:pPr>
      <w:r>
        <w:fldChar w:fldCharType="begin"/>
      </w:r>
      <w:r>
        <w:instrText xml:space="preserve"> HYPERLINK \l "_Toc15480" </w:instrText>
      </w:r>
      <w:r>
        <w:fldChar w:fldCharType="separate"/>
      </w:r>
      <w:r>
        <w:rPr>
          <w:rFonts w:hint="eastAsia" w:ascii="宋体" w:hAnsi="宋体" w:cs="宋体"/>
          <w:sz w:val="24"/>
        </w:rPr>
        <w:t>五  推荐中标候选人</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_Toc15480 \h </w:instrText>
      </w:r>
      <w:r>
        <w:rPr>
          <w:rFonts w:hint="eastAsia" w:ascii="宋体" w:hAnsi="宋体" w:cs="宋体"/>
          <w:sz w:val="24"/>
        </w:rPr>
        <w:fldChar w:fldCharType="separate"/>
      </w:r>
      <w:r>
        <w:rPr>
          <w:rFonts w:hint="eastAsia" w:ascii="宋体" w:hAnsi="宋体" w:cs="宋体"/>
          <w:sz w:val="24"/>
        </w:rPr>
        <w:t>21</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8306"/>
        </w:tabs>
        <w:spacing w:line="360" w:lineRule="auto"/>
        <w:rPr>
          <w:rFonts w:ascii="宋体" w:hAnsi="宋体" w:cs="宋体"/>
          <w:sz w:val="24"/>
        </w:rPr>
      </w:pPr>
      <w:r>
        <w:fldChar w:fldCharType="begin"/>
      </w:r>
      <w:r>
        <w:instrText xml:space="preserve"> HYPERLINK \l "_Toc30002" </w:instrText>
      </w:r>
      <w:r>
        <w:fldChar w:fldCharType="separate"/>
      </w:r>
      <w:r>
        <w:rPr>
          <w:rFonts w:hint="eastAsia" w:ascii="宋体" w:hAnsi="宋体" w:cs="宋体"/>
          <w:kern w:val="0"/>
          <w:sz w:val="24"/>
        </w:rPr>
        <w:t>第四章 采购需求及要求</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_Toc30002 \h </w:instrText>
      </w:r>
      <w:r>
        <w:rPr>
          <w:rFonts w:hint="eastAsia" w:ascii="宋体" w:hAnsi="宋体" w:cs="宋体"/>
          <w:sz w:val="24"/>
        </w:rPr>
        <w:fldChar w:fldCharType="separate"/>
      </w:r>
      <w:r>
        <w:rPr>
          <w:rFonts w:hint="eastAsia" w:ascii="宋体" w:hAnsi="宋体" w:cs="宋体"/>
          <w:sz w:val="24"/>
        </w:rPr>
        <w:t>23</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8306"/>
        </w:tabs>
        <w:spacing w:line="360" w:lineRule="auto"/>
        <w:rPr>
          <w:rFonts w:ascii="宋体" w:hAnsi="宋体" w:cs="宋体"/>
          <w:sz w:val="24"/>
        </w:rPr>
      </w:pPr>
      <w:r>
        <w:fldChar w:fldCharType="begin"/>
      </w:r>
      <w:r>
        <w:instrText xml:space="preserve"> HYPERLINK \l "_Toc5378" </w:instrText>
      </w:r>
      <w:r>
        <w:fldChar w:fldCharType="separate"/>
      </w:r>
      <w:r>
        <w:rPr>
          <w:rFonts w:hint="eastAsia" w:ascii="宋体" w:hAnsi="宋体" w:cs="宋体"/>
          <w:sz w:val="24"/>
        </w:rPr>
        <w:t>第五章 投标文件格式</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_Toc5378 \h </w:instrText>
      </w:r>
      <w:r>
        <w:rPr>
          <w:rFonts w:hint="eastAsia" w:ascii="宋体" w:hAnsi="宋体" w:cs="宋体"/>
          <w:sz w:val="24"/>
        </w:rPr>
        <w:fldChar w:fldCharType="separate"/>
      </w:r>
      <w:r>
        <w:rPr>
          <w:rFonts w:hint="eastAsia" w:ascii="宋体" w:hAnsi="宋体" w:cs="宋体"/>
          <w:sz w:val="24"/>
        </w:rPr>
        <w:t>25</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8306"/>
        </w:tabs>
        <w:spacing w:line="360" w:lineRule="auto"/>
      </w:pPr>
      <w:r>
        <w:fldChar w:fldCharType="begin"/>
      </w:r>
      <w:r>
        <w:instrText xml:space="preserve"> HYPERLINK \l "_Toc16708" </w:instrText>
      </w:r>
      <w:r>
        <w:fldChar w:fldCharType="separate"/>
      </w:r>
      <w:r>
        <w:rPr>
          <w:rFonts w:hint="eastAsia" w:ascii="宋体" w:hAnsi="宋体" w:cs="宋体"/>
          <w:sz w:val="24"/>
        </w:rPr>
        <w:t>第六章 招标单位、招标代理机构对本招标文件的确认</w:t>
      </w:r>
      <w:r>
        <w:rPr>
          <w:rFonts w:hint="eastAsia" w:ascii="宋体" w:hAnsi="宋体" w:cs="宋体"/>
          <w:sz w:val="24"/>
        </w:rPr>
        <w:tab/>
      </w:r>
      <w:r>
        <w:rPr>
          <w:rFonts w:hint="eastAsia" w:ascii="宋体" w:hAnsi="宋体" w:cs="宋体"/>
          <w:sz w:val="24"/>
        </w:rPr>
        <w:fldChar w:fldCharType="begin"/>
      </w:r>
      <w:r>
        <w:rPr>
          <w:rFonts w:hint="eastAsia" w:ascii="宋体" w:hAnsi="宋体" w:cs="宋体"/>
          <w:sz w:val="24"/>
        </w:rPr>
        <w:instrText xml:space="preserve"> PAGEREF _Toc16708 \h </w:instrText>
      </w:r>
      <w:r>
        <w:rPr>
          <w:rFonts w:hint="eastAsia" w:ascii="宋体" w:hAnsi="宋体" w:cs="宋体"/>
          <w:sz w:val="24"/>
        </w:rPr>
        <w:fldChar w:fldCharType="separate"/>
      </w:r>
      <w:r>
        <w:rPr>
          <w:rFonts w:hint="eastAsia" w:ascii="宋体" w:hAnsi="宋体" w:cs="宋体"/>
          <w:sz w:val="24"/>
        </w:rPr>
        <w:t>36</w:t>
      </w:r>
      <w:r>
        <w:rPr>
          <w:rFonts w:hint="eastAsia" w:ascii="宋体" w:hAnsi="宋体" w:cs="宋体"/>
          <w:sz w:val="24"/>
        </w:rPr>
        <w:fldChar w:fldCharType="end"/>
      </w:r>
      <w:r>
        <w:rPr>
          <w:rFonts w:hint="eastAsia" w:ascii="宋体" w:hAnsi="宋体" w:cs="宋体"/>
          <w:sz w:val="24"/>
        </w:rPr>
        <w:fldChar w:fldCharType="end"/>
      </w:r>
    </w:p>
    <w:p>
      <w:pPr>
        <w:pStyle w:val="24"/>
        <w:tabs>
          <w:tab w:val="right" w:leader="dot" w:pos="8306"/>
        </w:tabs>
        <w:outlineLvl w:val="0"/>
      </w:pPr>
      <w:r>
        <w:rPr>
          <w:rFonts w:hint="eastAsia" w:hAnsi="宋体"/>
          <w:szCs w:val="21"/>
        </w:rPr>
        <w:fldChar w:fldCharType="end"/>
      </w:r>
    </w:p>
    <w:p>
      <w:pPr>
        <w:pStyle w:val="17"/>
        <w:tabs>
          <w:tab w:val="right" w:leader="dot" w:pos="9168"/>
          <w:tab w:val="clear" w:pos="9288"/>
        </w:tabs>
        <w:spacing w:line="312" w:lineRule="auto"/>
        <w:ind w:left="840"/>
        <w:rPr>
          <w:b/>
          <w:bCs/>
          <w:sz w:val="32"/>
          <w:szCs w:val="32"/>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r>
        <w:rPr>
          <w:rFonts w:hint="eastAsia" w:hAnsi="宋体"/>
          <w:szCs w:val="21"/>
        </w:rPr>
        <w:fldChar w:fldCharType="end"/>
      </w:r>
    </w:p>
    <w:p>
      <w:pPr>
        <w:pStyle w:val="24"/>
        <w:tabs>
          <w:tab w:val="right" w:leader="dot" w:pos="8296"/>
        </w:tabs>
        <w:spacing w:line="312" w:lineRule="auto"/>
        <w:jc w:val="center"/>
        <w:outlineLvl w:val="0"/>
        <w:rPr>
          <w:rFonts w:ascii="宋体"/>
          <w:b/>
          <w:bCs/>
          <w:sz w:val="32"/>
          <w:szCs w:val="32"/>
        </w:rPr>
      </w:pPr>
      <w:bookmarkStart w:id="1" w:name="_Toc21262"/>
      <w:bookmarkStart w:id="2" w:name="_Toc14392"/>
      <w:r>
        <w:rPr>
          <w:rFonts w:hint="eastAsia" w:ascii="宋体"/>
          <w:b/>
          <w:bCs/>
          <w:sz w:val="32"/>
          <w:szCs w:val="32"/>
        </w:rPr>
        <w:t>第一章  招标公告</w:t>
      </w:r>
      <w:bookmarkEnd w:id="1"/>
      <w:bookmarkEnd w:id="2"/>
    </w:p>
    <w:p>
      <w:pPr>
        <w:pBdr>
          <w:top w:val="single" w:color="auto" w:sz="4" w:space="1"/>
          <w:left w:val="single" w:color="auto" w:sz="4" w:space="4"/>
          <w:bottom w:val="single" w:color="auto" w:sz="4" w:space="1"/>
          <w:right w:val="single" w:color="auto" w:sz="4" w:space="4"/>
        </w:pBdr>
        <w:spacing w:line="312" w:lineRule="auto"/>
        <w:ind w:firstLine="420" w:firstLineChars="200"/>
        <w:rPr>
          <w:rFonts w:ascii="宋体" w:hAnsi="宋体" w:cs="宋体"/>
          <w:szCs w:val="21"/>
        </w:rPr>
      </w:pPr>
      <w:r>
        <w:rPr>
          <w:rFonts w:hint="eastAsia" w:ascii="宋体" w:hAnsi="宋体" w:cs="宋体"/>
          <w:szCs w:val="21"/>
        </w:rPr>
        <w:t>项目概况</w:t>
      </w:r>
    </w:p>
    <w:p>
      <w:pPr>
        <w:pBdr>
          <w:top w:val="single" w:color="auto" w:sz="4" w:space="1"/>
          <w:left w:val="single" w:color="auto" w:sz="4" w:space="4"/>
          <w:bottom w:val="single" w:color="auto" w:sz="4" w:space="1"/>
          <w:right w:val="single" w:color="auto" w:sz="4" w:space="4"/>
        </w:pBdr>
        <w:spacing w:line="312" w:lineRule="auto"/>
        <w:ind w:firstLine="420" w:firstLineChars="200"/>
        <w:rPr>
          <w:rFonts w:ascii="宋体" w:hAnsi="宋体" w:cs="宋体"/>
          <w:szCs w:val="21"/>
        </w:rPr>
      </w:pPr>
      <w:r>
        <w:rPr>
          <w:rFonts w:hint="eastAsia" w:ascii="宋体" w:hAnsi="宋体" w:cs="宋体"/>
          <w:szCs w:val="21"/>
          <w:u w:val="single"/>
          <w:lang w:eastAsia="zh-CN"/>
        </w:rPr>
        <w:t>滁州市同创建设投资有限责任公司2020-2022年度财务年报审计服务项目</w:t>
      </w:r>
      <w:r>
        <w:rPr>
          <w:rFonts w:hint="eastAsia" w:ascii="宋体" w:hAnsi="宋体" w:cs="宋体"/>
          <w:szCs w:val="21"/>
        </w:rPr>
        <w:t>的潜在投标人应在</w:t>
      </w:r>
      <w:r>
        <w:rPr>
          <w:rFonts w:hint="eastAsia" w:ascii="宋体" w:hAnsi="宋体" w:cs="宋体"/>
          <w:szCs w:val="21"/>
          <w:u w:val="single"/>
        </w:rPr>
        <w:t>国家级</w:t>
      </w:r>
      <w:r>
        <w:rPr>
          <w:rFonts w:hint="eastAsia" w:ascii="宋体" w:hAnsi="宋体" w:cs="宋体"/>
          <w:color w:val="auto"/>
          <w:szCs w:val="21"/>
          <w:u w:val="single"/>
        </w:rPr>
        <w:t>滁州经济技术开发区网（http://kfq.chuzhou.gov.cn/index.html）</w:t>
      </w:r>
      <w:r>
        <w:rPr>
          <w:rFonts w:hint="eastAsia" w:ascii="宋体" w:hAnsi="宋体" w:cs="宋体"/>
          <w:color w:val="auto"/>
          <w:szCs w:val="21"/>
        </w:rPr>
        <w:t>获取招标文件，并于</w:t>
      </w:r>
      <w:r>
        <w:rPr>
          <w:rFonts w:hint="eastAsia" w:ascii="宋体" w:hAnsi="宋体" w:cs="宋体"/>
          <w:color w:val="auto"/>
          <w:szCs w:val="21"/>
          <w:u w:val="single"/>
        </w:rPr>
        <w:t>2021</w:t>
      </w:r>
      <w:r>
        <w:rPr>
          <w:rFonts w:hint="eastAsia" w:ascii="宋体" w:hAnsi="宋体" w:cs="宋体"/>
          <w:bCs/>
          <w:color w:val="auto"/>
          <w:szCs w:val="21"/>
          <w:u w:val="single"/>
        </w:rPr>
        <w:t>年4月22日15点00分</w:t>
      </w:r>
      <w:r>
        <w:rPr>
          <w:rFonts w:hint="eastAsia" w:ascii="宋体" w:hAnsi="宋体" w:cs="宋体"/>
          <w:bCs/>
          <w:color w:val="auto"/>
          <w:szCs w:val="21"/>
        </w:rPr>
        <w:t>（北京时间）</w:t>
      </w:r>
      <w:r>
        <w:rPr>
          <w:rFonts w:hint="eastAsia" w:ascii="宋体" w:hAnsi="宋体" w:cs="宋体"/>
          <w:bCs/>
          <w:szCs w:val="21"/>
        </w:rPr>
        <w:t>前递交投标文件</w:t>
      </w:r>
      <w:r>
        <w:rPr>
          <w:rFonts w:hint="eastAsia" w:ascii="宋体" w:hAnsi="宋体" w:cs="宋体"/>
          <w:szCs w:val="21"/>
        </w:rPr>
        <w:t>。</w:t>
      </w:r>
    </w:p>
    <w:p>
      <w:pPr>
        <w:pStyle w:val="6"/>
        <w:numPr>
          <w:ilvl w:val="0"/>
          <w:numId w:val="0"/>
        </w:numPr>
        <w:spacing w:line="312" w:lineRule="auto"/>
        <w:ind w:left="431"/>
        <w:rPr>
          <w:rFonts w:ascii="宋体" w:hAnsi="宋体" w:cs="宋体"/>
          <w:sz w:val="21"/>
          <w:szCs w:val="21"/>
        </w:rPr>
      </w:pPr>
      <w:bookmarkStart w:id="3" w:name="_Toc28359079"/>
      <w:bookmarkStart w:id="4" w:name="_Toc28359002"/>
      <w:bookmarkStart w:id="5" w:name="_Toc17886"/>
      <w:bookmarkStart w:id="6" w:name="_Toc31215"/>
      <w:bookmarkStart w:id="7" w:name="_Toc23993"/>
      <w:bookmarkStart w:id="8" w:name="_Toc35393621"/>
      <w:bookmarkStart w:id="9" w:name="_Toc35393790"/>
      <w:bookmarkStart w:id="10" w:name="_Hlk24379207"/>
      <w:r>
        <w:rPr>
          <w:rFonts w:hint="eastAsia" w:ascii="宋体" w:hAnsi="宋体" w:cs="宋体"/>
          <w:sz w:val="21"/>
          <w:szCs w:val="21"/>
        </w:rPr>
        <w:t>一、项目基本情况</w:t>
      </w:r>
      <w:bookmarkEnd w:id="3"/>
      <w:bookmarkEnd w:id="4"/>
      <w:bookmarkEnd w:id="5"/>
      <w:bookmarkEnd w:id="6"/>
      <w:bookmarkEnd w:id="7"/>
      <w:bookmarkEnd w:id="8"/>
      <w:bookmarkEnd w:id="9"/>
    </w:p>
    <w:p>
      <w:pPr>
        <w:spacing w:line="312" w:lineRule="auto"/>
        <w:ind w:firstLine="420" w:firstLineChars="20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u w:val="single"/>
          <w:lang w:eastAsia="zh-CN"/>
        </w:rPr>
        <w:t>滁州市同创建设投资有限责任公司2020-2022年度财务年报审计服务项目</w:t>
      </w:r>
    </w:p>
    <w:bookmarkEnd w:id="10"/>
    <w:p>
      <w:pPr>
        <w:spacing w:line="312" w:lineRule="auto"/>
        <w:ind w:firstLine="420" w:firstLineChars="200"/>
        <w:rPr>
          <w:rFonts w:hint="eastAsia" w:ascii="宋体" w:hAnsi="宋体" w:cs="宋体"/>
          <w:szCs w:val="21"/>
        </w:rPr>
      </w:pPr>
      <w:r>
        <w:rPr>
          <w:rFonts w:hint="eastAsia" w:ascii="宋体" w:hAnsi="宋体" w:cs="宋体"/>
          <w:szCs w:val="21"/>
        </w:rPr>
        <w:t>预算金额：</w:t>
      </w:r>
      <w:r>
        <w:rPr>
          <w:rFonts w:hint="eastAsia" w:ascii="宋体" w:hAnsi="宋体" w:cs="宋体"/>
          <w:szCs w:val="21"/>
          <w:lang w:eastAsia="zh-CN"/>
        </w:rPr>
        <w:t>160万元</w:t>
      </w:r>
      <w:r>
        <w:rPr>
          <w:rFonts w:hint="eastAsia" w:ascii="宋体" w:hAnsi="宋体" w:cs="宋体"/>
          <w:szCs w:val="21"/>
        </w:rPr>
        <w:t>。</w:t>
      </w:r>
    </w:p>
    <w:p>
      <w:pPr>
        <w:spacing w:line="312" w:lineRule="auto"/>
        <w:ind w:firstLine="420" w:firstLineChars="200"/>
        <w:rPr>
          <w:rFonts w:ascii="宋体" w:hAnsi="宋体" w:cs="宋体"/>
          <w:szCs w:val="21"/>
        </w:rPr>
      </w:pPr>
      <w:r>
        <w:rPr>
          <w:rFonts w:hint="eastAsia" w:ascii="宋体" w:hAnsi="宋体" w:cs="宋体"/>
          <w:szCs w:val="21"/>
        </w:rPr>
        <w:t>最高限价：1600000.00元。</w:t>
      </w:r>
    </w:p>
    <w:p>
      <w:pPr>
        <w:spacing w:line="312" w:lineRule="auto"/>
        <w:ind w:firstLine="420" w:firstLineChars="200"/>
        <w:rPr>
          <w:rFonts w:ascii="宋体" w:hAnsi="宋体" w:cs="宋体"/>
          <w:szCs w:val="21"/>
          <w:u w:val="single"/>
        </w:rPr>
      </w:pPr>
      <w:r>
        <w:rPr>
          <w:rFonts w:hint="eastAsia" w:ascii="宋体" w:hAnsi="宋体" w:cs="宋体"/>
          <w:szCs w:val="21"/>
        </w:rPr>
        <w:t>采购需求：具体详见招标文件。</w:t>
      </w:r>
    </w:p>
    <w:p>
      <w:pPr>
        <w:spacing w:line="312" w:lineRule="auto"/>
        <w:ind w:firstLine="420" w:firstLineChars="200"/>
        <w:rPr>
          <w:rFonts w:ascii="宋体" w:hAnsi="宋体" w:cs="宋体"/>
          <w:szCs w:val="21"/>
          <w:u w:val="single"/>
        </w:rPr>
      </w:pPr>
      <w:r>
        <w:rPr>
          <w:rFonts w:hint="eastAsia" w:ascii="宋体" w:hAnsi="宋体" w:cs="宋体"/>
          <w:szCs w:val="21"/>
        </w:rPr>
        <w:t>合同履行期限：具体详见招标文件</w:t>
      </w:r>
    </w:p>
    <w:p>
      <w:pPr>
        <w:spacing w:line="312" w:lineRule="auto"/>
        <w:ind w:firstLine="422" w:firstLineChars="200"/>
        <w:rPr>
          <w:rFonts w:ascii="宋体" w:hAnsi="宋体" w:cs="宋体"/>
          <w:b/>
          <w:bCs/>
          <w:szCs w:val="21"/>
        </w:rPr>
      </w:pPr>
      <w:r>
        <w:rPr>
          <w:rFonts w:hint="eastAsia" w:ascii="宋体" w:hAnsi="宋体" w:cs="宋体"/>
          <w:b/>
          <w:bCs/>
          <w:szCs w:val="21"/>
        </w:rPr>
        <w:t>本项目接受联合体投标。</w:t>
      </w:r>
    </w:p>
    <w:p>
      <w:pPr>
        <w:pStyle w:val="6"/>
        <w:numPr>
          <w:ilvl w:val="0"/>
          <w:numId w:val="0"/>
        </w:numPr>
        <w:spacing w:line="312" w:lineRule="auto"/>
        <w:ind w:left="431"/>
        <w:rPr>
          <w:rFonts w:ascii="宋体" w:hAnsi="宋体" w:cs="宋体"/>
          <w:sz w:val="21"/>
          <w:szCs w:val="21"/>
        </w:rPr>
      </w:pPr>
      <w:bookmarkStart w:id="11" w:name="_Toc35393622"/>
      <w:bookmarkStart w:id="12" w:name="_Toc28359080"/>
      <w:bookmarkStart w:id="13" w:name="_Toc28004"/>
      <w:bookmarkStart w:id="14" w:name="_Toc4879"/>
      <w:bookmarkStart w:id="15" w:name="_Toc35393791"/>
      <w:bookmarkStart w:id="16" w:name="_Toc19899"/>
      <w:bookmarkStart w:id="17" w:name="_Toc28359003"/>
      <w:r>
        <w:rPr>
          <w:rFonts w:hint="eastAsia" w:ascii="宋体" w:hAnsi="宋体" w:cs="宋体"/>
          <w:sz w:val="21"/>
          <w:szCs w:val="21"/>
        </w:rPr>
        <w:t>二、申请人的资格要求：</w:t>
      </w:r>
      <w:bookmarkEnd w:id="11"/>
      <w:bookmarkEnd w:id="12"/>
      <w:bookmarkEnd w:id="13"/>
      <w:bookmarkEnd w:id="14"/>
      <w:bookmarkEnd w:id="15"/>
      <w:bookmarkEnd w:id="16"/>
      <w:bookmarkEnd w:id="17"/>
    </w:p>
    <w:p>
      <w:pPr>
        <w:spacing w:line="312" w:lineRule="auto"/>
        <w:ind w:firstLine="420" w:firstLineChars="200"/>
        <w:rPr>
          <w:rFonts w:ascii="宋体" w:hAnsi="宋体" w:cs="宋体"/>
          <w:szCs w:val="21"/>
        </w:rPr>
      </w:pPr>
      <w:r>
        <w:rPr>
          <w:rFonts w:hint="eastAsia" w:ascii="宋体" w:hAnsi="宋体" w:cs="宋体"/>
          <w:szCs w:val="21"/>
        </w:rPr>
        <w:t>1.满足《中华人民共和国政府采购法》第二十二条规定；</w:t>
      </w:r>
    </w:p>
    <w:p>
      <w:pPr>
        <w:spacing w:line="312" w:lineRule="auto"/>
        <w:ind w:firstLine="420" w:firstLineChars="200"/>
        <w:rPr>
          <w:rFonts w:ascii="宋体" w:hAnsi="宋体" w:cs="宋体"/>
          <w:szCs w:val="21"/>
        </w:rPr>
      </w:pPr>
      <w:bookmarkStart w:id="18" w:name="_Toc28359004"/>
      <w:bookmarkStart w:id="19" w:name="_Toc28359081"/>
      <w:r>
        <w:rPr>
          <w:rFonts w:hint="eastAsia" w:ascii="宋体" w:hAnsi="宋体" w:cs="宋体"/>
          <w:szCs w:val="21"/>
        </w:rPr>
        <w:t>2.落实政府采购政策需满足的资格要求：</w:t>
      </w:r>
      <w:r>
        <w:rPr>
          <w:rFonts w:hint="eastAsia" w:ascii="宋体" w:hAnsi="宋体" w:cs="宋体"/>
          <w:szCs w:val="21"/>
          <w:u w:val="single"/>
        </w:rPr>
        <w:t>无；</w:t>
      </w:r>
    </w:p>
    <w:p>
      <w:pPr>
        <w:spacing w:line="312" w:lineRule="auto"/>
        <w:ind w:firstLine="420" w:firstLineChars="200"/>
        <w:rPr>
          <w:rFonts w:ascii="宋体" w:hAnsi="宋体" w:cs="宋体"/>
          <w:color w:val="auto"/>
          <w:szCs w:val="21"/>
        </w:rPr>
      </w:pPr>
      <w:r>
        <w:rPr>
          <w:rFonts w:hint="eastAsia" w:ascii="宋体" w:hAnsi="宋体" w:cs="宋体"/>
          <w:color w:val="auto"/>
          <w:szCs w:val="21"/>
        </w:rPr>
        <w:t>3.本项目的特定资格要求：</w:t>
      </w:r>
    </w:p>
    <w:p>
      <w:pPr>
        <w:spacing w:line="312" w:lineRule="auto"/>
        <w:ind w:firstLine="420" w:firstLineChars="200"/>
        <w:rPr>
          <w:rFonts w:ascii="宋体" w:hAnsi="宋体" w:cs="宋体"/>
          <w:color w:val="auto"/>
          <w:szCs w:val="21"/>
        </w:rPr>
      </w:pPr>
      <w:r>
        <w:rPr>
          <w:rFonts w:hint="eastAsia" w:ascii="宋体" w:hAnsi="宋体" w:cs="宋体"/>
          <w:color w:val="auto"/>
          <w:szCs w:val="21"/>
        </w:rPr>
        <w:t>①投标人须同时具有财政部门颁发的会计师事务所执业证书和财政部会同中国证监会联合颁发的从事证券业务许可证。</w:t>
      </w:r>
    </w:p>
    <w:p>
      <w:pPr>
        <w:spacing w:line="312" w:lineRule="auto"/>
        <w:ind w:firstLine="420" w:firstLineChars="200"/>
        <w:rPr>
          <w:color w:val="auto"/>
          <w:szCs w:val="22"/>
        </w:rPr>
      </w:pPr>
      <w:r>
        <w:rPr>
          <w:rFonts w:hint="eastAsia" w:ascii="宋体" w:hAnsi="宋体" w:cs="宋体"/>
          <w:color w:val="auto"/>
          <w:szCs w:val="21"/>
        </w:rPr>
        <w:t>②项目负责人须具有全国注册会计师资格证书（取得该证书年限达5年及以上，时间以全国注册会计师证书时间为准）且注册在本次投标单位；</w:t>
      </w:r>
    </w:p>
    <w:p>
      <w:pPr>
        <w:spacing w:line="312" w:lineRule="auto"/>
        <w:ind w:firstLine="420" w:firstLineChars="200"/>
        <w:rPr>
          <w:rFonts w:ascii="宋体" w:hAnsi="宋体" w:cs="宋体"/>
          <w:color w:val="auto"/>
          <w:szCs w:val="21"/>
        </w:rPr>
      </w:pPr>
      <w:r>
        <w:rPr>
          <w:rFonts w:hint="eastAsia" w:ascii="宋体" w:hAnsi="宋体" w:cs="宋体"/>
          <w:color w:val="auto"/>
          <w:szCs w:val="21"/>
        </w:rPr>
        <w:t>4.信誉要求：投标人不得存在以下情形：</w:t>
      </w:r>
    </w:p>
    <w:p>
      <w:pPr>
        <w:spacing w:line="312" w:lineRule="auto"/>
        <w:ind w:firstLine="420" w:firstLineChars="200"/>
        <w:rPr>
          <w:rFonts w:ascii="宋体" w:hAnsi="宋体" w:cs="宋体"/>
          <w:color w:val="auto"/>
          <w:szCs w:val="21"/>
        </w:rPr>
      </w:pPr>
      <w:bookmarkStart w:id="20" w:name="_Toc2689"/>
      <w:bookmarkStart w:id="21" w:name="_Toc35393623"/>
      <w:bookmarkStart w:id="22" w:name="_Toc35393792"/>
      <w:r>
        <w:rPr>
          <w:rFonts w:hint="eastAsia" w:ascii="宋体" w:hAnsi="宋体" w:cs="宋体"/>
          <w:color w:val="auto"/>
          <w:szCs w:val="21"/>
        </w:rPr>
        <w:t>①投标人被人民法院列入失信被执行人的；</w:t>
      </w:r>
    </w:p>
    <w:p>
      <w:pPr>
        <w:spacing w:line="312" w:lineRule="auto"/>
        <w:ind w:firstLine="420" w:firstLineChars="200"/>
        <w:rPr>
          <w:rFonts w:ascii="宋体" w:hAnsi="宋体" w:cs="宋体"/>
          <w:color w:val="auto"/>
          <w:szCs w:val="21"/>
        </w:rPr>
      </w:pPr>
      <w:r>
        <w:rPr>
          <w:rFonts w:hint="eastAsia" w:ascii="宋体" w:hAnsi="宋体" w:cs="宋体"/>
          <w:color w:val="auto"/>
          <w:szCs w:val="21"/>
        </w:rPr>
        <w:t>②投标人被人民检察院列入行贿犯罪档案的；</w:t>
      </w:r>
    </w:p>
    <w:p>
      <w:pPr>
        <w:spacing w:line="312" w:lineRule="auto"/>
        <w:ind w:firstLine="420" w:firstLineChars="200"/>
        <w:rPr>
          <w:rFonts w:ascii="宋体" w:hAnsi="宋体" w:cs="宋体"/>
          <w:szCs w:val="21"/>
        </w:rPr>
      </w:pPr>
      <w:r>
        <w:rPr>
          <w:rFonts w:hint="eastAsia" w:ascii="宋体" w:hAnsi="宋体" w:cs="宋体"/>
          <w:color w:val="auto"/>
          <w:szCs w:val="21"/>
        </w:rPr>
        <w:t>③投标人被市场监督管理部门列入经营异常名录</w:t>
      </w:r>
      <w:r>
        <w:rPr>
          <w:rFonts w:hint="eastAsia" w:ascii="宋体" w:hAnsi="宋体" w:cs="宋体"/>
          <w:szCs w:val="21"/>
        </w:rPr>
        <w:t>或者严重违法企业名单的；</w:t>
      </w:r>
    </w:p>
    <w:p>
      <w:pPr>
        <w:spacing w:line="312" w:lineRule="auto"/>
        <w:ind w:firstLine="420" w:firstLineChars="200"/>
        <w:rPr>
          <w:rFonts w:ascii="宋体" w:hAnsi="宋体" w:cs="宋体"/>
          <w:szCs w:val="21"/>
        </w:rPr>
      </w:pPr>
      <w:r>
        <w:rPr>
          <w:rFonts w:hint="eastAsia" w:ascii="宋体" w:hAnsi="宋体" w:cs="宋体"/>
          <w:szCs w:val="21"/>
        </w:rPr>
        <w:t>④投标人被税收部门列入重大税收违法案件当事人的；</w:t>
      </w:r>
    </w:p>
    <w:p>
      <w:pPr>
        <w:spacing w:line="312" w:lineRule="auto"/>
        <w:ind w:firstLine="420" w:firstLineChars="200"/>
        <w:rPr>
          <w:rFonts w:ascii="宋体" w:hAnsi="宋体" w:cs="宋体"/>
          <w:szCs w:val="21"/>
        </w:rPr>
      </w:pPr>
      <w:r>
        <w:rPr>
          <w:rFonts w:hint="eastAsia" w:ascii="宋体" w:hAnsi="宋体" w:cs="宋体"/>
          <w:szCs w:val="21"/>
        </w:rPr>
        <w:t>⑤投标人被政府采购监管部门列入政府采购严重违法失信行为记录名单的；</w:t>
      </w:r>
    </w:p>
    <w:p>
      <w:pPr>
        <w:spacing w:line="312" w:lineRule="auto"/>
        <w:ind w:firstLine="420" w:firstLineChars="200"/>
        <w:rPr>
          <w:rFonts w:ascii="宋体" w:hAnsi="宋体" w:cs="宋体"/>
          <w:szCs w:val="21"/>
        </w:rPr>
      </w:pPr>
      <w:r>
        <w:rPr>
          <w:rFonts w:hint="eastAsia" w:ascii="宋体" w:hAnsi="宋体" w:cs="宋体"/>
          <w:szCs w:val="21"/>
        </w:rPr>
        <w:t>⑥在“信用中国”网站上披露仍在公示期的严重失信行为的；</w:t>
      </w:r>
    </w:p>
    <w:p>
      <w:pPr>
        <w:pStyle w:val="6"/>
        <w:numPr>
          <w:ilvl w:val="0"/>
          <w:numId w:val="0"/>
        </w:numPr>
        <w:spacing w:line="312" w:lineRule="auto"/>
        <w:ind w:left="431"/>
        <w:rPr>
          <w:rFonts w:ascii="宋体" w:hAnsi="宋体" w:cs="宋体"/>
          <w:sz w:val="21"/>
          <w:szCs w:val="21"/>
        </w:rPr>
      </w:pPr>
      <w:bookmarkStart w:id="23" w:name="_Toc24169"/>
      <w:bookmarkStart w:id="24" w:name="_Toc7189"/>
      <w:r>
        <w:rPr>
          <w:rFonts w:hint="eastAsia" w:ascii="宋体" w:hAnsi="宋体" w:cs="宋体"/>
          <w:sz w:val="21"/>
          <w:szCs w:val="21"/>
        </w:rPr>
        <w:t>三、获取</w:t>
      </w:r>
      <w:bookmarkEnd w:id="18"/>
      <w:bookmarkEnd w:id="19"/>
      <w:bookmarkEnd w:id="20"/>
      <w:bookmarkEnd w:id="21"/>
      <w:bookmarkEnd w:id="22"/>
      <w:bookmarkEnd w:id="23"/>
      <w:bookmarkEnd w:id="24"/>
      <w:r>
        <w:rPr>
          <w:rFonts w:hint="eastAsia" w:ascii="宋体" w:hAnsi="宋体" w:cs="宋体"/>
          <w:sz w:val="21"/>
          <w:szCs w:val="21"/>
        </w:rPr>
        <w:t>招标文件</w:t>
      </w:r>
    </w:p>
    <w:p>
      <w:pPr>
        <w:spacing w:line="312" w:lineRule="auto"/>
        <w:ind w:firstLine="540"/>
        <w:rPr>
          <w:rFonts w:ascii="宋体" w:hAnsi="宋体" w:cs="宋体"/>
          <w:color w:val="auto"/>
          <w:szCs w:val="21"/>
          <w:u w:val="single"/>
        </w:rPr>
      </w:pPr>
      <w:r>
        <w:rPr>
          <w:rFonts w:hint="eastAsia" w:ascii="宋体" w:hAnsi="宋体" w:cs="宋体"/>
          <w:color w:val="auto"/>
          <w:szCs w:val="21"/>
        </w:rPr>
        <w:t>时间：</w:t>
      </w:r>
      <w:r>
        <w:rPr>
          <w:rFonts w:hint="eastAsia" w:ascii="宋体" w:hAnsi="宋体" w:cs="宋体"/>
          <w:color w:val="auto"/>
          <w:szCs w:val="21"/>
          <w:u w:val="single"/>
        </w:rPr>
        <w:t>2021年4月19日</w:t>
      </w:r>
      <w:r>
        <w:rPr>
          <w:rFonts w:hint="eastAsia" w:ascii="宋体" w:hAnsi="宋体" w:cs="宋体"/>
          <w:color w:val="auto"/>
          <w:szCs w:val="21"/>
        </w:rPr>
        <w:t>至</w:t>
      </w:r>
      <w:r>
        <w:rPr>
          <w:rFonts w:hint="eastAsia" w:ascii="宋体" w:hAnsi="宋体" w:cs="宋体"/>
          <w:color w:val="auto"/>
          <w:szCs w:val="21"/>
          <w:u w:val="single"/>
        </w:rPr>
        <w:t>2021年4月22日</w:t>
      </w:r>
      <w:r>
        <w:rPr>
          <w:rFonts w:hint="eastAsia" w:ascii="宋体" w:hAnsi="宋体" w:cs="宋体"/>
          <w:bCs/>
          <w:color w:val="auto"/>
          <w:szCs w:val="21"/>
          <w:u w:val="single"/>
        </w:rPr>
        <w:t>15点00分</w:t>
      </w:r>
    </w:p>
    <w:p>
      <w:pPr>
        <w:spacing w:line="312" w:lineRule="auto"/>
        <w:ind w:firstLine="540"/>
        <w:rPr>
          <w:rFonts w:ascii="宋体" w:hAnsi="宋体" w:cs="宋体"/>
          <w:color w:val="auto"/>
          <w:szCs w:val="21"/>
          <w:u w:val="single"/>
        </w:rPr>
      </w:pPr>
      <w:r>
        <w:rPr>
          <w:rFonts w:hint="eastAsia" w:ascii="宋体" w:hAnsi="宋体" w:cs="宋体"/>
          <w:color w:val="auto"/>
          <w:szCs w:val="21"/>
        </w:rPr>
        <w:t>地点：国家级滁州经济技术开发区网（http://kfq.chuzhou.gov.cn/index.html）</w:t>
      </w:r>
    </w:p>
    <w:p>
      <w:pPr>
        <w:spacing w:line="312" w:lineRule="auto"/>
        <w:ind w:firstLine="540"/>
        <w:rPr>
          <w:rFonts w:ascii="宋体" w:hAnsi="宋体" w:cs="宋体"/>
          <w:color w:val="auto"/>
          <w:szCs w:val="21"/>
          <w:u w:val="single"/>
        </w:rPr>
      </w:pPr>
      <w:r>
        <w:rPr>
          <w:rFonts w:hint="eastAsia" w:ascii="宋体" w:hAnsi="宋体" w:cs="宋体"/>
          <w:color w:val="auto"/>
          <w:szCs w:val="21"/>
        </w:rPr>
        <w:t>方式：网上下载</w:t>
      </w:r>
    </w:p>
    <w:p>
      <w:pPr>
        <w:pStyle w:val="6"/>
        <w:numPr>
          <w:ilvl w:val="0"/>
          <w:numId w:val="0"/>
        </w:numPr>
        <w:spacing w:line="312" w:lineRule="auto"/>
        <w:ind w:left="431"/>
        <w:rPr>
          <w:rFonts w:ascii="宋体" w:hAnsi="宋体" w:cs="宋体"/>
          <w:color w:val="auto"/>
          <w:sz w:val="21"/>
          <w:szCs w:val="21"/>
        </w:rPr>
      </w:pPr>
      <w:bookmarkStart w:id="25" w:name="_Toc28359005"/>
      <w:bookmarkStart w:id="26" w:name="_Toc28359082"/>
      <w:bookmarkStart w:id="27" w:name="_Toc19139"/>
      <w:bookmarkStart w:id="28" w:name="_Toc23486"/>
      <w:bookmarkStart w:id="29" w:name="_Toc17285"/>
      <w:bookmarkStart w:id="30" w:name="_Toc35393793"/>
      <w:bookmarkStart w:id="31" w:name="_Toc35393624"/>
      <w:r>
        <w:rPr>
          <w:rFonts w:hint="eastAsia" w:ascii="宋体" w:hAnsi="宋体" w:cs="宋体"/>
          <w:color w:val="auto"/>
          <w:sz w:val="21"/>
          <w:szCs w:val="21"/>
        </w:rPr>
        <w:t>四、提交投标文件</w:t>
      </w:r>
      <w:bookmarkEnd w:id="25"/>
      <w:bookmarkEnd w:id="26"/>
      <w:r>
        <w:rPr>
          <w:rFonts w:hint="eastAsia" w:ascii="宋体" w:hAnsi="宋体" w:cs="宋体"/>
          <w:color w:val="auto"/>
          <w:sz w:val="21"/>
          <w:szCs w:val="21"/>
        </w:rPr>
        <w:t>截止时间、开标时间和地点</w:t>
      </w:r>
      <w:bookmarkEnd w:id="27"/>
      <w:bookmarkEnd w:id="28"/>
      <w:bookmarkEnd w:id="29"/>
      <w:bookmarkEnd w:id="30"/>
      <w:bookmarkEnd w:id="31"/>
    </w:p>
    <w:p>
      <w:pPr>
        <w:spacing w:line="312" w:lineRule="auto"/>
        <w:ind w:firstLine="420" w:firstLineChars="200"/>
        <w:rPr>
          <w:rFonts w:ascii="宋体" w:hAnsi="宋体" w:cs="宋体"/>
          <w:bCs/>
          <w:color w:val="auto"/>
          <w:szCs w:val="21"/>
          <w:u w:val="single"/>
        </w:rPr>
      </w:pPr>
      <w:r>
        <w:rPr>
          <w:rFonts w:hint="eastAsia" w:ascii="宋体" w:hAnsi="宋体" w:cs="宋体"/>
          <w:bCs/>
          <w:color w:val="auto"/>
          <w:szCs w:val="21"/>
          <w:u w:val="single"/>
        </w:rPr>
        <w:t>2021年4月22日15点00分</w:t>
      </w:r>
      <w:r>
        <w:rPr>
          <w:rFonts w:hint="eastAsia" w:ascii="宋体" w:hAnsi="宋体" w:cs="宋体"/>
          <w:bCs/>
          <w:color w:val="auto"/>
          <w:szCs w:val="21"/>
        </w:rPr>
        <w:t>（北京时间）</w:t>
      </w:r>
    </w:p>
    <w:p>
      <w:pPr>
        <w:spacing w:line="312" w:lineRule="auto"/>
        <w:ind w:firstLine="420" w:firstLineChars="200"/>
        <w:rPr>
          <w:rFonts w:ascii="宋体" w:hAnsi="宋体" w:cs="宋体"/>
          <w:bCs/>
          <w:color w:val="0000FF"/>
          <w:szCs w:val="21"/>
          <w:u w:val="single"/>
        </w:rPr>
      </w:pPr>
      <w:r>
        <w:rPr>
          <w:rFonts w:hint="eastAsia" w:ascii="宋体" w:hAnsi="宋体" w:cs="宋体"/>
          <w:szCs w:val="21"/>
        </w:rPr>
        <w:t>地点：</w:t>
      </w:r>
      <w:r>
        <w:rPr>
          <w:rFonts w:hint="eastAsia" w:ascii="宋体" w:hAnsi="宋体" w:cs="宋体"/>
          <w:spacing w:val="-6"/>
          <w:szCs w:val="21"/>
          <w:u w:val="single"/>
        </w:rPr>
        <w:t>滁州市经济技术开发区管委会2号楼三楼会议室【滁州市全椒路155号】</w:t>
      </w:r>
    </w:p>
    <w:p>
      <w:pPr>
        <w:spacing w:line="312" w:lineRule="auto"/>
        <w:ind w:firstLine="420" w:firstLineChars="200"/>
        <w:rPr>
          <w:rFonts w:ascii="宋体" w:hAnsi="宋体" w:cs="宋体"/>
          <w:bCs/>
          <w:color w:val="auto"/>
          <w:szCs w:val="21"/>
        </w:rPr>
      </w:pPr>
      <w:r>
        <w:rPr>
          <w:rFonts w:hint="eastAsia" w:ascii="宋体" w:hAnsi="宋体" w:cs="宋体"/>
          <w:bCs/>
          <w:szCs w:val="21"/>
        </w:rPr>
        <w:t>五、</w:t>
      </w:r>
      <w:r>
        <w:rPr>
          <w:rFonts w:hint="eastAsia" w:ascii="宋体" w:hAnsi="宋体" w:cs="宋体"/>
          <w:bCs/>
          <w:color w:val="auto"/>
          <w:szCs w:val="21"/>
        </w:rPr>
        <w:t>投标保证金金额及缴纳账户</w:t>
      </w:r>
    </w:p>
    <w:p>
      <w:pPr>
        <w:spacing w:line="312" w:lineRule="auto"/>
        <w:ind w:firstLine="404" w:firstLineChars="200"/>
        <w:rPr>
          <w:rFonts w:ascii="宋体" w:hAnsi="宋体" w:cs="Arial"/>
          <w:b/>
          <w:bCs/>
          <w:color w:val="auto"/>
          <w:spacing w:val="-6"/>
          <w:szCs w:val="21"/>
          <w:u w:val="single"/>
        </w:rPr>
      </w:pPr>
      <w:r>
        <w:rPr>
          <w:rFonts w:hint="eastAsia" w:ascii="宋体" w:hAnsi="宋体" w:cs="Arial"/>
          <w:color w:val="auto"/>
          <w:spacing w:val="-4"/>
          <w:szCs w:val="21"/>
        </w:rPr>
        <w:t>投标要求：</w:t>
      </w:r>
      <w:r>
        <w:rPr>
          <w:rFonts w:hint="eastAsia" w:ascii="宋体" w:hAnsi="宋体" w:cs="Arial"/>
          <w:color w:val="auto"/>
          <w:spacing w:val="-6"/>
          <w:szCs w:val="21"/>
        </w:rPr>
        <w:t>投标保证金金额：</w:t>
      </w:r>
      <w:r>
        <w:rPr>
          <w:rFonts w:hint="eastAsia" w:ascii="宋体" w:hAnsi="宋体" w:cs="Arial"/>
          <w:b/>
          <w:bCs/>
          <w:color w:val="auto"/>
          <w:spacing w:val="-6"/>
          <w:szCs w:val="21"/>
          <w:u w:val="single"/>
        </w:rPr>
        <w:t>2.0万元</w:t>
      </w:r>
      <w:r>
        <w:rPr>
          <w:rFonts w:hint="eastAsia" w:ascii="宋体" w:hAnsi="宋体" w:cs="Arial"/>
          <w:color w:val="auto"/>
          <w:szCs w:val="21"/>
        </w:rPr>
        <w:t>。</w:t>
      </w:r>
    </w:p>
    <w:p>
      <w:pPr>
        <w:spacing w:line="312" w:lineRule="auto"/>
        <w:ind w:firstLine="420" w:firstLineChars="200"/>
        <w:rPr>
          <w:rFonts w:ascii="宋体" w:hAnsi="宋体" w:cs="Arial"/>
          <w:color w:val="auto"/>
          <w:szCs w:val="21"/>
        </w:rPr>
      </w:pPr>
      <w:r>
        <w:rPr>
          <w:rFonts w:hint="eastAsia" w:ascii="宋体" w:hAnsi="宋体" w:cs="Arial"/>
          <w:color w:val="auto"/>
          <w:szCs w:val="21"/>
        </w:rPr>
        <w:t>上述投标保证金须在</w:t>
      </w:r>
      <w:r>
        <w:rPr>
          <w:rFonts w:ascii="宋体" w:hAnsi="宋体"/>
          <w:b/>
          <w:color w:val="auto"/>
          <w:u w:val="single"/>
        </w:rPr>
        <w:t>202</w:t>
      </w:r>
      <w:r>
        <w:rPr>
          <w:rFonts w:hint="eastAsia" w:ascii="宋体" w:hAnsi="宋体"/>
          <w:b/>
          <w:color w:val="auto"/>
          <w:u w:val="single"/>
        </w:rPr>
        <w:t>1</w:t>
      </w:r>
      <w:r>
        <w:rPr>
          <w:rFonts w:ascii="宋体" w:hAnsi="宋体"/>
          <w:b/>
          <w:color w:val="auto"/>
          <w:u w:val="single"/>
        </w:rPr>
        <w:t>年</w:t>
      </w:r>
      <w:r>
        <w:rPr>
          <w:rFonts w:hint="eastAsia" w:ascii="宋体" w:hAnsi="宋体"/>
          <w:b/>
          <w:color w:val="auto"/>
          <w:u w:val="single"/>
        </w:rPr>
        <w:t>4月22日12</w:t>
      </w:r>
      <w:r>
        <w:rPr>
          <w:rFonts w:ascii="宋体" w:hAnsi="宋体"/>
          <w:b/>
          <w:color w:val="auto"/>
          <w:u w:val="single"/>
        </w:rPr>
        <w:t>时</w:t>
      </w:r>
      <w:r>
        <w:rPr>
          <w:rFonts w:hint="eastAsia" w:ascii="宋体" w:hAnsi="宋体" w:cs="Arial"/>
          <w:color w:val="auto"/>
          <w:szCs w:val="21"/>
        </w:rPr>
        <w:t>前交纳完毕；投标保证金须从投标人账户转入招标人账户，投标保证金付款人的帐户名称必须与投标人名称一致，不接受汇票，以资金到账时间为确认保证金交纳完毕时间。</w:t>
      </w:r>
    </w:p>
    <w:p>
      <w:pPr>
        <w:spacing w:line="312" w:lineRule="auto"/>
        <w:ind w:left="420" w:leftChars="200" w:firstLine="60" w:firstLineChars="29"/>
        <w:rPr>
          <w:rFonts w:ascii="宋体" w:hAnsi="宋体" w:cs="Arial"/>
          <w:color w:val="auto"/>
          <w:szCs w:val="21"/>
        </w:rPr>
      </w:pPr>
      <w:r>
        <w:rPr>
          <w:rFonts w:hint="eastAsia" w:ascii="宋体" w:hAnsi="宋体" w:cs="Arial"/>
          <w:color w:val="auto"/>
          <w:szCs w:val="21"/>
        </w:rPr>
        <w:t>收款单位：滁州市同创建设投资有限责任公司</w:t>
      </w:r>
    </w:p>
    <w:p>
      <w:pPr>
        <w:spacing w:line="312" w:lineRule="auto"/>
        <w:ind w:left="420" w:leftChars="200" w:firstLine="60" w:firstLineChars="29"/>
        <w:rPr>
          <w:rFonts w:ascii="宋体" w:hAnsi="宋体" w:cs="Arial"/>
          <w:color w:val="auto"/>
          <w:szCs w:val="21"/>
        </w:rPr>
      </w:pPr>
      <w:r>
        <w:rPr>
          <w:rFonts w:hint="eastAsia" w:ascii="宋体" w:hAnsi="宋体" w:cs="Arial"/>
          <w:color w:val="auto"/>
          <w:szCs w:val="21"/>
        </w:rPr>
        <w:t xml:space="preserve">开户行：中行滁州分行营业部         </w:t>
      </w:r>
    </w:p>
    <w:p>
      <w:pPr>
        <w:spacing w:line="312" w:lineRule="auto"/>
        <w:ind w:left="420" w:leftChars="200" w:firstLine="60" w:firstLineChars="29"/>
        <w:rPr>
          <w:rFonts w:ascii="宋体" w:hAnsi="宋体" w:cs="Arial"/>
          <w:color w:val="auto"/>
          <w:szCs w:val="21"/>
        </w:rPr>
      </w:pPr>
      <w:r>
        <w:rPr>
          <w:rFonts w:hint="eastAsia" w:ascii="宋体" w:hAnsi="宋体" w:cs="Arial"/>
          <w:color w:val="auto"/>
          <w:szCs w:val="21"/>
        </w:rPr>
        <w:t>帐  号：182729065428</w:t>
      </w:r>
    </w:p>
    <w:p>
      <w:pPr>
        <w:spacing w:line="312" w:lineRule="auto"/>
        <w:ind w:firstLine="420" w:firstLineChars="200"/>
        <w:rPr>
          <w:rFonts w:ascii="宋体" w:hAnsi="宋体" w:cs="Arial"/>
          <w:color w:val="auto"/>
          <w:szCs w:val="21"/>
        </w:rPr>
      </w:pPr>
      <w:r>
        <w:rPr>
          <w:rFonts w:hint="eastAsia" w:ascii="宋体" w:hAnsi="宋体" w:cs="Arial"/>
          <w:color w:val="auto"/>
          <w:szCs w:val="21"/>
        </w:rPr>
        <w:t>交纳保证金时须在交易附言中注明：“</w:t>
      </w:r>
      <w:r>
        <w:rPr>
          <w:rFonts w:hint="eastAsia" w:ascii="宋体" w:hAnsi="宋体" w:cs="Arial"/>
          <w:color w:val="auto"/>
          <w:szCs w:val="21"/>
          <w:lang w:eastAsia="zh-CN"/>
        </w:rPr>
        <w:t>滁州市同创建设投资有限责任公司2020-2022年度财务年报审计服务项目</w:t>
      </w:r>
      <w:r>
        <w:rPr>
          <w:rFonts w:hint="eastAsia" w:ascii="宋体" w:hAnsi="宋体" w:cs="Arial"/>
          <w:color w:val="auto"/>
          <w:szCs w:val="21"/>
        </w:rPr>
        <w:t>”投标保证金。</w:t>
      </w:r>
    </w:p>
    <w:p>
      <w:pPr>
        <w:spacing w:line="312" w:lineRule="auto"/>
        <w:ind w:firstLine="420" w:firstLineChars="200"/>
        <w:rPr>
          <w:rFonts w:ascii="宋体" w:hAnsi="宋体" w:cs="宋体"/>
          <w:szCs w:val="21"/>
        </w:rPr>
      </w:pPr>
      <w:r>
        <w:rPr>
          <w:rFonts w:hint="eastAsia" w:ascii="宋体" w:hAnsi="宋体" w:cs="宋体"/>
          <w:szCs w:val="21"/>
        </w:rPr>
        <w:t>六、对本次招标提出询问，请按以下方式联系。</w:t>
      </w:r>
    </w:p>
    <w:p>
      <w:pPr>
        <w:widowControl/>
        <w:spacing w:line="312" w:lineRule="auto"/>
        <w:jc w:val="left"/>
        <w:rPr>
          <w:rFonts w:ascii="宋体" w:hAnsi="宋体" w:cs="宋体"/>
          <w:szCs w:val="21"/>
        </w:rPr>
      </w:pPr>
      <w:r>
        <w:rPr>
          <w:rFonts w:hint="eastAsia" w:ascii="宋体" w:hAnsi="宋体" w:cs="宋体"/>
          <w:szCs w:val="21"/>
        </w:rPr>
        <w:t>　　　　1.采购人信息</w:t>
      </w:r>
    </w:p>
    <w:p>
      <w:pPr>
        <w:spacing w:line="312" w:lineRule="auto"/>
        <w:ind w:firstLine="840" w:firstLineChars="400"/>
        <w:jc w:val="left"/>
        <w:rPr>
          <w:rFonts w:hint="eastAsia" w:ascii="宋体" w:hAnsi="宋体" w:eastAsia="宋体" w:cs="宋体"/>
          <w:szCs w:val="21"/>
          <w:lang w:eastAsia="zh-CN"/>
        </w:rPr>
      </w:pPr>
      <w:r>
        <w:rPr>
          <w:rFonts w:hint="eastAsia" w:ascii="宋体" w:hAnsi="宋体" w:cs="宋体"/>
          <w:szCs w:val="21"/>
        </w:rPr>
        <w:t>名 称：</w:t>
      </w:r>
      <w:r>
        <w:rPr>
          <w:rFonts w:hint="eastAsia" w:ascii="宋体" w:hAnsi="宋体" w:cs="宋体"/>
          <w:szCs w:val="21"/>
          <w:u w:val="single"/>
          <w:lang w:eastAsia="zh-CN"/>
        </w:rPr>
        <w:t>滁州市同创建设投资有限责任公司</w:t>
      </w:r>
    </w:p>
    <w:p>
      <w:pPr>
        <w:spacing w:line="312" w:lineRule="auto"/>
        <w:ind w:firstLine="840" w:firstLineChars="400"/>
        <w:jc w:val="left"/>
        <w:rPr>
          <w:rFonts w:ascii="宋体" w:hAnsi="宋体" w:cs="宋体"/>
          <w:szCs w:val="21"/>
        </w:rPr>
      </w:pPr>
      <w:r>
        <w:rPr>
          <w:rFonts w:hint="eastAsia" w:ascii="宋体" w:hAnsi="宋体" w:cs="宋体"/>
          <w:szCs w:val="21"/>
        </w:rPr>
        <w:t>地址：</w:t>
      </w:r>
      <w:r>
        <w:rPr>
          <w:rFonts w:hint="eastAsia" w:ascii="宋体" w:hAnsi="宋体" w:cs="宋体"/>
          <w:szCs w:val="21"/>
          <w:u w:val="single"/>
        </w:rPr>
        <w:t>滁州市全椒路155号</w:t>
      </w:r>
    </w:p>
    <w:p>
      <w:pPr>
        <w:spacing w:line="312" w:lineRule="auto"/>
        <w:ind w:firstLine="840" w:firstLineChars="400"/>
        <w:jc w:val="left"/>
        <w:rPr>
          <w:rFonts w:ascii="宋体" w:hAnsi="宋体" w:cs="宋体"/>
          <w:szCs w:val="21"/>
          <w:u w:val="single"/>
        </w:rPr>
      </w:pPr>
      <w:r>
        <w:rPr>
          <w:rFonts w:hint="eastAsia" w:ascii="宋体" w:hAnsi="宋体" w:cs="宋体"/>
          <w:szCs w:val="21"/>
        </w:rPr>
        <w:t>联系方式：</w:t>
      </w:r>
      <w:r>
        <w:rPr>
          <w:rFonts w:hint="eastAsia" w:ascii="宋体" w:hAnsi="宋体" w:cs="宋体"/>
          <w:szCs w:val="21"/>
          <w:u w:val="single"/>
        </w:rPr>
        <w:t xml:space="preserve">15155073575 </w:t>
      </w:r>
      <w:bookmarkStart w:id="32" w:name="_Toc28359009"/>
      <w:bookmarkStart w:id="33" w:name="_Toc28359086"/>
    </w:p>
    <w:p>
      <w:pPr>
        <w:spacing w:line="312" w:lineRule="auto"/>
        <w:ind w:firstLine="630" w:firstLineChars="300"/>
        <w:jc w:val="left"/>
        <w:rPr>
          <w:rFonts w:ascii="宋体" w:hAnsi="宋体" w:cs="宋体"/>
          <w:szCs w:val="21"/>
        </w:rPr>
      </w:pPr>
      <w:r>
        <w:rPr>
          <w:rFonts w:hint="eastAsia" w:ascii="宋体" w:hAnsi="宋体" w:cs="宋体"/>
          <w:szCs w:val="21"/>
        </w:rPr>
        <w:t>2.采购代理机构信息</w:t>
      </w:r>
      <w:bookmarkEnd w:id="32"/>
      <w:bookmarkEnd w:id="33"/>
    </w:p>
    <w:p>
      <w:pPr>
        <w:spacing w:line="312" w:lineRule="auto"/>
        <w:ind w:firstLine="840" w:firstLineChars="400"/>
        <w:rPr>
          <w:rFonts w:ascii="宋体" w:hAnsi="宋体" w:cs="宋体"/>
          <w:szCs w:val="21"/>
        </w:rPr>
      </w:pPr>
      <w:r>
        <w:rPr>
          <w:rFonts w:hint="eastAsia" w:ascii="宋体" w:hAnsi="宋体" w:cs="宋体"/>
          <w:szCs w:val="21"/>
        </w:rPr>
        <w:t>名 称：</w:t>
      </w:r>
      <w:r>
        <w:rPr>
          <w:rFonts w:hint="eastAsia" w:ascii="宋体" w:hAnsi="宋体" w:cs="宋体"/>
          <w:szCs w:val="21"/>
          <w:u w:val="single"/>
        </w:rPr>
        <w:t>滁州市城投工程咨询管理有限公司</w:t>
      </w:r>
    </w:p>
    <w:p>
      <w:pPr>
        <w:spacing w:line="312" w:lineRule="auto"/>
        <w:ind w:firstLine="840" w:firstLineChars="400"/>
        <w:rPr>
          <w:rFonts w:ascii="宋体" w:hAnsi="宋体" w:cs="宋体"/>
          <w:szCs w:val="21"/>
        </w:rPr>
      </w:pPr>
      <w:r>
        <w:rPr>
          <w:rFonts w:hint="eastAsia" w:ascii="宋体" w:hAnsi="宋体" w:cs="宋体"/>
          <w:szCs w:val="21"/>
        </w:rPr>
        <w:t>地　址：</w:t>
      </w:r>
      <w:r>
        <w:rPr>
          <w:rFonts w:hint="eastAsia" w:ascii="宋体" w:hAnsi="宋体" w:cs="宋体"/>
          <w:szCs w:val="21"/>
          <w:u w:val="single"/>
        </w:rPr>
        <w:t>滁州市龙蟠大道109号房产大厦六楼</w:t>
      </w:r>
    </w:p>
    <w:p>
      <w:pPr>
        <w:spacing w:line="312" w:lineRule="auto"/>
        <w:ind w:firstLine="840" w:firstLineChars="400"/>
        <w:rPr>
          <w:rFonts w:ascii="宋体" w:hAnsi="宋体" w:cs="宋体"/>
          <w:szCs w:val="21"/>
        </w:rPr>
      </w:pPr>
      <w:r>
        <w:rPr>
          <w:rFonts w:hint="eastAsia" w:ascii="宋体" w:hAnsi="宋体" w:cs="宋体"/>
          <w:szCs w:val="21"/>
        </w:rPr>
        <w:t>联系方式：</w:t>
      </w:r>
      <w:bookmarkStart w:id="34" w:name="_Toc28359087"/>
      <w:bookmarkStart w:id="35" w:name="_Toc28359010"/>
      <w:r>
        <w:rPr>
          <w:rFonts w:hint="eastAsia" w:ascii="宋体" w:hAnsi="宋体" w:cs="宋体"/>
          <w:szCs w:val="21"/>
          <w:u w:val="single"/>
        </w:rPr>
        <w:t>0550-3519512</w:t>
      </w:r>
    </w:p>
    <w:p>
      <w:pPr>
        <w:spacing w:line="312" w:lineRule="auto"/>
        <w:ind w:firstLine="630" w:firstLineChars="300"/>
        <w:rPr>
          <w:rFonts w:ascii="宋体" w:hAnsi="宋体" w:cs="宋体"/>
          <w:szCs w:val="21"/>
          <w:u w:val="single"/>
        </w:rPr>
      </w:pPr>
      <w:r>
        <w:rPr>
          <w:rFonts w:hint="eastAsia" w:ascii="宋体" w:hAnsi="宋体" w:cs="宋体"/>
          <w:szCs w:val="21"/>
        </w:rPr>
        <w:t>3.项目联系方式</w:t>
      </w:r>
      <w:bookmarkEnd w:id="34"/>
      <w:bookmarkEnd w:id="35"/>
    </w:p>
    <w:p>
      <w:pPr>
        <w:pStyle w:val="18"/>
        <w:spacing w:line="312" w:lineRule="auto"/>
        <w:ind w:firstLine="840" w:firstLineChars="400"/>
        <w:rPr>
          <w:rFonts w:hAnsi="宋体" w:cs="宋体"/>
          <w:szCs w:val="21"/>
        </w:rPr>
      </w:pPr>
      <w:r>
        <w:rPr>
          <w:rFonts w:hint="eastAsia" w:hAnsi="宋体" w:cs="宋体"/>
          <w:szCs w:val="21"/>
        </w:rPr>
        <w:t>项目联系人：</w:t>
      </w:r>
      <w:r>
        <w:rPr>
          <w:rFonts w:hint="eastAsia" w:hAnsi="宋体" w:cs="宋体"/>
          <w:szCs w:val="21"/>
          <w:u w:val="single"/>
        </w:rPr>
        <w:t>吴兴加    张夏骄</w:t>
      </w:r>
    </w:p>
    <w:p>
      <w:pPr>
        <w:wordWrap w:val="0"/>
        <w:snapToGrid w:val="0"/>
        <w:spacing w:line="312" w:lineRule="auto"/>
        <w:ind w:firstLine="840" w:firstLineChars="400"/>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15155073575   0550-3519512、18155023588</w:t>
      </w:r>
    </w:p>
    <w:p>
      <w:pPr>
        <w:wordWrap w:val="0"/>
        <w:snapToGrid w:val="0"/>
        <w:spacing w:line="312" w:lineRule="auto"/>
        <w:ind w:firstLine="840" w:firstLineChars="400"/>
        <w:rPr>
          <w:rFonts w:ascii="宋体" w:hAnsi="宋体" w:cs="宋体"/>
          <w:szCs w:val="21"/>
          <w:u w:val="single"/>
        </w:rPr>
      </w:pPr>
    </w:p>
    <w:p>
      <w:pPr>
        <w:pageBreakBefore/>
        <w:spacing w:before="156" w:beforeLines="50" w:after="156" w:afterLines="50" w:line="312" w:lineRule="auto"/>
        <w:ind w:firstLine="2891" w:firstLineChars="900"/>
        <w:outlineLvl w:val="0"/>
        <w:rPr>
          <w:rFonts w:ascii="宋体"/>
          <w:b/>
          <w:sz w:val="32"/>
          <w:szCs w:val="32"/>
        </w:rPr>
      </w:pPr>
      <w:bookmarkStart w:id="36" w:name="_Toc7075"/>
      <w:bookmarkStart w:id="37" w:name="_Toc15339"/>
      <w:r>
        <w:rPr>
          <w:rFonts w:hint="eastAsia" w:ascii="宋体"/>
          <w:b/>
          <w:sz w:val="32"/>
          <w:szCs w:val="32"/>
        </w:rPr>
        <w:t>第二章 投标人须知</w:t>
      </w:r>
      <w:bookmarkEnd w:id="36"/>
      <w:bookmarkEnd w:id="37"/>
    </w:p>
    <w:p>
      <w:pPr>
        <w:snapToGrid w:val="0"/>
        <w:spacing w:line="312" w:lineRule="auto"/>
        <w:jc w:val="center"/>
        <w:outlineLvl w:val="1"/>
        <w:rPr>
          <w:rFonts w:ascii="宋体"/>
          <w:b/>
          <w:sz w:val="28"/>
          <w:szCs w:val="28"/>
        </w:rPr>
      </w:pPr>
      <w:bookmarkStart w:id="38" w:name="_Toc10490"/>
      <w:bookmarkStart w:id="39" w:name="_Toc449028865"/>
      <w:bookmarkStart w:id="40" w:name="_Toc30050"/>
      <w:r>
        <w:rPr>
          <w:rFonts w:hint="eastAsia" w:ascii="宋体"/>
          <w:b/>
          <w:sz w:val="32"/>
          <w:szCs w:val="32"/>
        </w:rPr>
        <w:t>一、</w:t>
      </w:r>
      <w:r>
        <w:rPr>
          <w:rFonts w:hint="eastAsia" w:ascii="宋体"/>
          <w:b/>
          <w:sz w:val="28"/>
          <w:szCs w:val="28"/>
        </w:rPr>
        <w:t>投标人须知前附表</w:t>
      </w:r>
      <w:bookmarkEnd w:id="38"/>
      <w:bookmarkEnd w:id="39"/>
      <w:bookmarkEnd w:id="40"/>
    </w:p>
    <w:tbl>
      <w:tblPr>
        <w:tblStyle w:val="31"/>
        <w:tblW w:w="1016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46"/>
        <w:gridCol w:w="312"/>
        <w:gridCol w:w="1727"/>
        <w:gridCol w:w="7481"/>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jc w:val="center"/>
        </w:trPr>
        <w:tc>
          <w:tcPr>
            <w:tcW w:w="958" w:type="dxa"/>
            <w:gridSpan w:val="2"/>
            <w:vAlign w:val="center"/>
          </w:tcPr>
          <w:p>
            <w:pPr>
              <w:pStyle w:val="18"/>
              <w:spacing w:line="312" w:lineRule="auto"/>
              <w:jc w:val="center"/>
              <w:rPr>
                <w:b/>
                <w:color w:val="auto"/>
                <w:szCs w:val="21"/>
              </w:rPr>
            </w:pPr>
            <w:r>
              <w:rPr>
                <w:rFonts w:hint="eastAsia"/>
                <w:b/>
                <w:color w:val="auto"/>
                <w:szCs w:val="21"/>
              </w:rPr>
              <w:t>条款号</w:t>
            </w:r>
          </w:p>
        </w:tc>
        <w:tc>
          <w:tcPr>
            <w:tcW w:w="1727" w:type="dxa"/>
            <w:vAlign w:val="center"/>
          </w:tcPr>
          <w:p>
            <w:pPr>
              <w:pStyle w:val="18"/>
              <w:spacing w:line="312" w:lineRule="auto"/>
              <w:jc w:val="center"/>
              <w:rPr>
                <w:b/>
                <w:color w:val="auto"/>
                <w:szCs w:val="21"/>
              </w:rPr>
            </w:pPr>
            <w:r>
              <w:rPr>
                <w:rFonts w:hint="eastAsia"/>
                <w:b/>
                <w:color w:val="auto"/>
                <w:szCs w:val="21"/>
              </w:rPr>
              <w:t>内容</w:t>
            </w:r>
          </w:p>
        </w:tc>
        <w:tc>
          <w:tcPr>
            <w:tcW w:w="7481" w:type="dxa"/>
            <w:vAlign w:val="center"/>
          </w:tcPr>
          <w:p>
            <w:pPr>
              <w:pStyle w:val="18"/>
              <w:spacing w:line="312" w:lineRule="auto"/>
              <w:jc w:val="center"/>
              <w:rPr>
                <w:b/>
                <w:color w:val="auto"/>
                <w:szCs w:val="21"/>
              </w:rPr>
            </w:pPr>
            <w:r>
              <w:rPr>
                <w:rFonts w:hint="eastAsia"/>
                <w:b/>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9"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1.1</w:t>
            </w:r>
          </w:p>
        </w:tc>
        <w:tc>
          <w:tcPr>
            <w:tcW w:w="1727" w:type="dxa"/>
            <w:vAlign w:val="center"/>
          </w:tcPr>
          <w:p>
            <w:pPr>
              <w:spacing w:line="312" w:lineRule="auto"/>
              <w:rPr>
                <w:rFonts w:ascii="宋体"/>
                <w:szCs w:val="21"/>
              </w:rPr>
            </w:pPr>
            <w:r>
              <w:rPr>
                <w:rFonts w:hint="eastAsia" w:ascii="宋体"/>
                <w:szCs w:val="21"/>
              </w:rPr>
              <w:t>项目名称</w:t>
            </w:r>
          </w:p>
        </w:tc>
        <w:tc>
          <w:tcPr>
            <w:tcW w:w="7481" w:type="dxa"/>
            <w:vAlign w:val="center"/>
          </w:tcPr>
          <w:p>
            <w:pPr>
              <w:spacing w:line="312" w:lineRule="auto"/>
              <w:rPr>
                <w:rFonts w:hint="eastAsia" w:ascii="宋体" w:eastAsia="宋体"/>
                <w:szCs w:val="21"/>
                <w:lang w:eastAsia="zh-CN"/>
              </w:rPr>
            </w:pPr>
            <w:r>
              <w:rPr>
                <w:rFonts w:hint="eastAsia" w:ascii="宋体"/>
                <w:szCs w:val="21"/>
                <w:lang w:eastAsia="zh-CN"/>
              </w:rPr>
              <w:t>滁州市同创建设投资有限责任公司2020-2022年度财务年报审计服务项目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96"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1.1</w:t>
            </w:r>
          </w:p>
        </w:tc>
        <w:tc>
          <w:tcPr>
            <w:tcW w:w="1727" w:type="dxa"/>
            <w:vAlign w:val="center"/>
          </w:tcPr>
          <w:p>
            <w:pPr>
              <w:spacing w:line="312" w:lineRule="auto"/>
              <w:rPr>
                <w:rFonts w:ascii="宋体"/>
                <w:szCs w:val="21"/>
              </w:rPr>
            </w:pPr>
            <w:r>
              <w:rPr>
                <w:rFonts w:hint="eastAsia" w:ascii="宋体"/>
                <w:szCs w:val="21"/>
              </w:rPr>
              <w:t>供货期（服务期）</w:t>
            </w:r>
          </w:p>
        </w:tc>
        <w:tc>
          <w:tcPr>
            <w:tcW w:w="7481" w:type="dxa"/>
            <w:vAlign w:val="center"/>
          </w:tcPr>
          <w:p>
            <w:pPr>
              <w:spacing w:line="312" w:lineRule="auto"/>
              <w:rPr>
                <w:rFonts w:ascii="宋体"/>
                <w:szCs w:val="21"/>
              </w:rPr>
            </w:pPr>
            <w:r>
              <w:rPr>
                <w:rFonts w:hint="eastAsia" w:ascii="宋体"/>
                <w:szCs w:val="21"/>
              </w:rPr>
              <w:t>服务期三年，</w:t>
            </w:r>
            <w:r>
              <w:rPr>
                <w:rFonts w:hint="eastAsia"/>
                <w:szCs w:val="21"/>
              </w:rPr>
              <w:t>具体工作任务时间节点</w:t>
            </w:r>
            <w:r>
              <w:rPr>
                <w:szCs w:val="21"/>
              </w:rPr>
              <w:t>根据招标人要求进行。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24"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1.1</w:t>
            </w:r>
          </w:p>
        </w:tc>
        <w:tc>
          <w:tcPr>
            <w:tcW w:w="1727" w:type="dxa"/>
            <w:vAlign w:val="center"/>
          </w:tcPr>
          <w:p>
            <w:pPr>
              <w:pStyle w:val="18"/>
              <w:spacing w:line="312" w:lineRule="auto"/>
              <w:jc w:val="left"/>
              <w:rPr>
                <w:color w:val="auto"/>
                <w:szCs w:val="21"/>
              </w:rPr>
            </w:pPr>
            <w:r>
              <w:rPr>
                <w:rFonts w:hint="eastAsia"/>
                <w:color w:val="auto"/>
                <w:szCs w:val="21"/>
              </w:rPr>
              <w:t>供货地点</w:t>
            </w:r>
          </w:p>
        </w:tc>
        <w:tc>
          <w:tcPr>
            <w:tcW w:w="7481" w:type="dxa"/>
            <w:vAlign w:val="center"/>
          </w:tcPr>
          <w:p>
            <w:pPr>
              <w:pStyle w:val="18"/>
              <w:spacing w:line="312" w:lineRule="auto"/>
              <w:rPr>
                <w:color w:val="auto"/>
                <w:szCs w:val="21"/>
              </w:rPr>
            </w:pPr>
            <w:r>
              <w:rPr>
                <w:rFonts w:hint="eastAsia"/>
                <w:color w:val="auto"/>
                <w:szCs w:val="21"/>
              </w:rPr>
              <w:t xml:space="preserve">滁州市，按招标人要求服务。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8"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1.2</w:t>
            </w:r>
          </w:p>
        </w:tc>
        <w:tc>
          <w:tcPr>
            <w:tcW w:w="1727" w:type="dxa"/>
            <w:vAlign w:val="center"/>
          </w:tcPr>
          <w:p>
            <w:pPr>
              <w:pStyle w:val="18"/>
              <w:spacing w:line="312" w:lineRule="auto"/>
              <w:jc w:val="left"/>
              <w:rPr>
                <w:color w:val="auto"/>
                <w:szCs w:val="21"/>
              </w:rPr>
            </w:pPr>
            <w:r>
              <w:rPr>
                <w:rFonts w:hint="eastAsia"/>
                <w:color w:val="auto"/>
                <w:szCs w:val="21"/>
              </w:rPr>
              <w:t>招标人联系人及电话</w:t>
            </w:r>
          </w:p>
        </w:tc>
        <w:tc>
          <w:tcPr>
            <w:tcW w:w="7481" w:type="dxa"/>
            <w:vAlign w:val="center"/>
          </w:tcPr>
          <w:p>
            <w:pPr>
              <w:pStyle w:val="18"/>
              <w:spacing w:line="312" w:lineRule="auto"/>
              <w:rPr>
                <w:rFonts w:hAnsi="宋体" w:cs="宋体-18030"/>
                <w:color w:val="auto"/>
                <w:szCs w:val="21"/>
              </w:rPr>
            </w:pPr>
            <w:r>
              <w:rPr>
                <w:rFonts w:hint="eastAsia" w:hAnsi="宋体" w:cs="宋体-18030"/>
                <w:color w:val="auto"/>
                <w:szCs w:val="21"/>
              </w:rPr>
              <w:t>联系人：吴兴加；联系</w:t>
            </w:r>
            <w:r>
              <w:rPr>
                <w:rFonts w:hint="eastAsia"/>
                <w:color w:val="auto"/>
                <w:szCs w:val="21"/>
              </w:rPr>
              <w:t>电话：</w:t>
            </w:r>
            <w:r>
              <w:rPr>
                <w:rFonts w:hint="eastAsia" w:hAnsi="宋体" w:cs="宋体-18030"/>
                <w:color w:val="auto"/>
                <w:szCs w:val="21"/>
              </w:rPr>
              <w:t>15155073575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1.2</w:t>
            </w:r>
          </w:p>
        </w:tc>
        <w:tc>
          <w:tcPr>
            <w:tcW w:w="1727" w:type="dxa"/>
            <w:vAlign w:val="center"/>
          </w:tcPr>
          <w:p>
            <w:pPr>
              <w:pStyle w:val="18"/>
              <w:spacing w:line="312" w:lineRule="auto"/>
              <w:jc w:val="left"/>
              <w:rPr>
                <w:color w:val="auto"/>
                <w:szCs w:val="21"/>
              </w:rPr>
            </w:pPr>
            <w:r>
              <w:rPr>
                <w:rFonts w:hint="eastAsia"/>
                <w:color w:val="auto"/>
                <w:szCs w:val="21"/>
              </w:rPr>
              <w:t>代理机构联系人及电话</w:t>
            </w:r>
          </w:p>
        </w:tc>
        <w:tc>
          <w:tcPr>
            <w:tcW w:w="7481" w:type="dxa"/>
            <w:vAlign w:val="center"/>
          </w:tcPr>
          <w:p>
            <w:pPr>
              <w:pStyle w:val="18"/>
              <w:spacing w:line="312" w:lineRule="auto"/>
              <w:rPr>
                <w:rFonts w:hAnsi="宋体" w:cs="宋体-18030"/>
                <w:color w:val="auto"/>
                <w:szCs w:val="21"/>
              </w:rPr>
            </w:pPr>
            <w:r>
              <w:rPr>
                <w:rFonts w:hint="eastAsia" w:hAnsi="宋体" w:cs="宋体"/>
                <w:bCs/>
                <w:szCs w:val="21"/>
              </w:rPr>
              <w:t>联系人：张夏骄；电话：0550-3519512、18155023588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88"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1.3</w:t>
            </w:r>
          </w:p>
        </w:tc>
        <w:tc>
          <w:tcPr>
            <w:tcW w:w="1727" w:type="dxa"/>
            <w:vAlign w:val="center"/>
          </w:tcPr>
          <w:p>
            <w:pPr>
              <w:pStyle w:val="18"/>
              <w:spacing w:line="312" w:lineRule="auto"/>
              <w:jc w:val="left"/>
              <w:rPr>
                <w:color w:val="auto"/>
                <w:szCs w:val="21"/>
              </w:rPr>
            </w:pPr>
            <w:r>
              <w:rPr>
                <w:rFonts w:hint="eastAsia"/>
                <w:color w:val="auto"/>
                <w:szCs w:val="21"/>
              </w:rPr>
              <w:t>资金来源</w:t>
            </w:r>
          </w:p>
        </w:tc>
        <w:tc>
          <w:tcPr>
            <w:tcW w:w="7481" w:type="dxa"/>
            <w:vAlign w:val="center"/>
          </w:tcPr>
          <w:p>
            <w:pPr>
              <w:pStyle w:val="18"/>
              <w:spacing w:line="312" w:lineRule="auto"/>
              <w:rPr>
                <w:rFonts w:hAnsi="宋体" w:cs="宋体-18030"/>
                <w:color w:val="auto"/>
                <w:szCs w:val="21"/>
              </w:rPr>
            </w:pPr>
            <w:r>
              <w:rPr>
                <w:rFonts w:hint="eastAsia" w:hAnsi="宋体" w:cs="宋体-18030"/>
                <w:color w:val="auto"/>
                <w:szCs w:val="21"/>
              </w:rPr>
              <w:t>自筹资金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75"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1.4</w:t>
            </w:r>
          </w:p>
        </w:tc>
        <w:tc>
          <w:tcPr>
            <w:tcW w:w="1727" w:type="dxa"/>
            <w:vAlign w:val="center"/>
          </w:tcPr>
          <w:p>
            <w:pPr>
              <w:pStyle w:val="18"/>
              <w:spacing w:line="312" w:lineRule="auto"/>
              <w:rPr>
                <w:rFonts w:hAnsi="宋体" w:cs="宋体-18030"/>
                <w:color w:val="auto"/>
                <w:szCs w:val="21"/>
              </w:rPr>
            </w:pPr>
            <w:r>
              <w:rPr>
                <w:rFonts w:hint="eastAsia" w:hAnsi="宋体" w:cs="宋体-18030"/>
                <w:color w:val="auto"/>
                <w:szCs w:val="21"/>
              </w:rPr>
              <w:t>采购预算</w:t>
            </w:r>
          </w:p>
        </w:tc>
        <w:tc>
          <w:tcPr>
            <w:tcW w:w="7481" w:type="dxa"/>
            <w:vAlign w:val="center"/>
          </w:tcPr>
          <w:p>
            <w:pPr>
              <w:pStyle w:val="18"/>
              <w:spacing w:line="312" w:lineRule="auto"/>
              <w:rPr>
                <w:rFonts w:hAnsi="宋体" w:cs="宋体-18030"/>
                <w:color w:val="auto"/>
                <w:szCs w:val="21"/>
              </w:rPr>
            </w:pPr>
            <w:r>
              <w:rPr>
                <w:rFonts w:hint="eastAsia" w:hAnsi="宋体" w:cs="宋体"/>
                <w:szCs w:val="21"/>
                <w:lang w:eastAsia="zh-CN"/>
              </w:rPr>
              <w:t>160万元</w:t>
            </w:r>
            <w:r>
              <w:rPr>
                <w:rFonts w:hint="eastAsia"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75"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1.5</w:t>
            </w:r>
          </w:p>
        </w:tc>
        <w:tc>
          <w:tcPr>
            <w:tcW w:w="1727" w:type="dxa"/>
            <w:vAlign w:val="center"/>
          </w:tcPr>
          <w:p>
            <w:pPr>
              <w:pStyle w:val="18"/>
              <w:spacing w:line="312" w:lineRule="auto"/>
              <w:rPr>
                <w:rFonts w:hAnsi="宋体" w:cs="宋体-18030"/>
                <w:color w:val="auto"/>
                <w:szCs w:val="21"/>
              </w:rPr>
            </w:pPr>
            <w:r>
              <w:rPr>
                <w:rFonts w:hint="eastAsia" w:hAnsi="宋体" w:cs="宋体-18030"/>
                <w:color w:val="auto"/>
                <w:szCs w:val="21"/>
              </w:rPr>
              <w:t>最高限价</w:t>
            </w:r>
          </w:p>
        </w:tc>
        <w:tc>
          <w:tcPr>
            <w:tcW w:w="7481" w:type="dxa"/>
            <w:vAlign w:val="center"/>
          </w:tcPr>
          <w:p>
            <w:pPr>
              <w:pStyle w:val="18"/>
              <w:spacing w:line="312" w:lineRule="auto"/>
              <w:rPr>
                <w:rFonts w:hAnsi="宋体" w:cs="宋体-18030"/>
                <w:color w:val="auto"/>
                <w:szCs w:val="21"/>
              </w:rPr>
            </w:pPr>
            <w:r>
              <w:rPr>
                <w:rFonts w:hint="eastAsia" w:hAnsi="宋体" w:cs="宋体"/>
                <w:szCs w:val="21"/>
              </w:rPr>
              <w:t>1600000.00元。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2.1</w:t>
            </w:r>
          </w:p>
        </w:tc>
        <w:tc>
          <w:tcPr>
            <w:tcW w:w="1727" w:type="dxa"/>
            <w:vAlign w:val="center"/>
          </w:tcPr>
          <w:p>
            <w:pPr>
              <w:pStyle w:val="18"/>
              <w:spacing w:line="312" w:lineRule="auto"/>
              <w:jc w:val="left"/>
              <w:rPr>
                <w:color w:val="auto"/>
                <w:szCs w:val="21"/>
              </w:rPr>
            </w:pPr>
            <w:r>
              <w:rPr>
                <w:rFonts w:hint="eastAsia"/>
                <w:color w:val="auto"/>
                <w:szCs w:val="21"/>
              </w:rPr>
              <w:t>采购需求（内容）</w:t>
            </w:r>
          </w:p>
        </w:tc>
        <w:tc>
          <w:tcPr>
            <w:tcW w:w="7481" w:type="dxa"/>
            <w:vAlign w:val="center"/>
          </w:tcPr>
          <w:p>
            <w:pPr>
              <w:pStyle w:val="18"/>
              <w:spacing w:line="312" w:lineRule="auto"/>
              <w:rPr>
                <w:color w:val="auto"/>
                <w:szCs w:val="21"/>
              </w:rPr>
            </w:pPr>
            <w:r>
              <w:rPr>
                <w:rFonts w:hint="eastAsia" w:hAnsi="宋体" w:cs="宋体-18030"/>
                <w:color w:val="auto"/>
                <w:szCs w:val="21"/>
              </w:rPr>
              <w:t>本项目采购内容包括：</w:t>
            </w:r>
            <w:r>
              <w:rPr>
                <w:rFonts w:hint="eastAsia" w:hAnsi="宋体"/>
                <w:color w:val="auto"/>
                <w:szCs w:val="21"/>
              </w:rPr>
              <w:t>详见</w:t>
            </w:r>
            <w:r>
              <w:rPr>
                <w:rFonts w:hint="eastAsia" w:hAnsi="宋体" w:cs="宋体-18030"/>
                <w:color w:val="auto"/>
                <w:szCs w:val="21"/>
              </w:rPr>
              <w:t>《采购需求及要求》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4.1</w:t>
            </w:r>
          </w:p>
        </w:tc>
        <w:tc>
          <w:tcPr>
            <w:tcW w:w="1727" w:type="dxa"/>
            <w:vAlign w:val="center"/>
          </w:tcPr>
          <w:p>
            <w:pPr>
              <w:pStyle w:val="18"/>
              <w:spacing w:line="312" w:lineRule="auto"/>
              <w:jc w:val="left"/>
              <w:rPr>
                <w:color w:val="auto"/>
                <w:szCs w:val="21"/>
              </w:rPr>
            </w:pPr>
            <w:r>
              <w:rPr>
                <w:rFonts w:hint="eastAsia"/>
                <w:color w:val="auto"/>
                <w:szCs w:val="21"/>
              </w:rPr>
              <w:t>招标方式</w:t>
            </w:r>
          </w:p>
        </w:tc>
        <w:tc>
          <w:tcPr>
            <w:tcW w:w="7481" w:type="dxa"/>
            <w:vAlign w:val="center"/>
          </w:tcPr>
          <w:p>
            <w:pPr>
              <w:pStyle w:val="18"/>
              <w:spacing w:line="312" w:lineRule="auto"/>
              <w:rPr>
                <w:color w:val="auto"/>
                <w:szCs w:val="21"/>
              </w:rPr>
            </w:pPr>
            <w:r>
              <w:rPr>
                <w:rFonts w:hint="eastAsia" w:ascii="幼圆" w:hAnsi="宋体-18030" w:cs="宋体-18030"/>
                <w:color w:val="auto"/>
                <w:szCs w:val="21"/>
              </w:rPr>
              <w:t>公开</w:t>
            </w:r>
            <w:r>
              <w:rPr>
                <w:rFonts w:hint="eastAsia"/>
                <w:color w:val="auto"/>
                <w:szCs w:val="21"/>
              </w:rPr>
              <w:t>招标</w:t>
            </w:r>
            <w:r>
              <w:rPr>
                <w:rFonts w:hint="eastAsia"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3"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7.2</w:t>
            </w:r>
          </w:p>
        </w:tc>
        <w:tc>
          <w:tcPr>
            <w:tcW w:w="1727" w:type="dxa"/>
            <w:vAlign w:val="center"/>
          </w:tcPr>
          <w:p>
            <w:pPr>
              <w:pStyle w:val="18"/>
              <w:spacing w:line="312" w:lineRule="auto"/>
              <w:jc w:val="left"/>
              <w:rPr>
                <w:color w:val="auto"/>
                <w:szCs w:val="21"/>
              </w:rPr>
            </w:pPr>
            <w:r>
              <w:rPr>
                <w:rFonts w:hint="eastAsia"/>
                <w:color w:val="auto"/>
                <w:szCs w:val="21"/>
              </w:rPr>
              <w:t>投标人资格条件及其他要求</w:t>
            </w:r>
          </w:p>
        </w:tc>
        <w:tc>
          <w:tcPr>
            <w:tcW w:w="7481" w:type="dxa"/>
            <w:vAlign w:val="center"/>
          </w:tcPr>
          <w:p>
            <w:pPr>
              <w:spacing w:line="420" w:lineRule="exact"/>
              <w:rPr>
                <w:rFonts w:ascii="ˎ̥" w:hAnsi="ˎ̥"/>
              </w:rPr>
            </w:pPr>
            <w:r>
              <w:rPr>
                <w:rFonts w:hint="eastAsia" w:ascii="ˎ̥" w:hAnsi="ˎ̥"/>
              </w:rPr>
              <w:t>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70"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9.1</w:t>
            </w:r>
          </w:p>
        </w:tc>
        <w:tc>
          <w:tcPr>
            <w:tcW w:w="1727" w:type="dxa"/>
            <w:vAlign w:val="center"/>
          </w:tcPr>
          <w:p>
            <w:pPr>
              <w:pStyle w:val="18"/>
              <w:spacing w:line="312" w:lineRule="auto"/>
              <w:jc w:val="left"/>
              <w:rPr>
                <w:color w:val="auto"/>
                <w:szCs w:val="21"/>
              </w:rPr>
            </w:pPr>
            <w:r>
              <w:rPr>
                <w:rFonts w:hint="eastAsia"/>
                <w:color w:val="auto"/>
                <w:szCs w:val="21"/>
              </w:rPr>
              <w:t>踏勘现场</w:t>
            </w:r>
          </w:p>
        </w:tc>
        <w:tc>
          <w:tcPr>
            <w:tcW w:w="7481" w:type="dxa"/>
            <w:vAlign w:val="center"/>
          </w:tcPr>
          <w:p>
            <w:pPr>
              <w:pStyle w:val="18"/>
              <w:spacing w:line="312" w:lineRule="auto"/>
              <w:rPr>
                <w:color w:val="auto"/>
                <w:szCs w:val="21"/>
              </w:rPr>
            </w:pPr>
            <w:r>
              <w:rPr>
                <w:rFonts w:hint="eastAsia"/>
                <w:color w:val="auto"/>
                <w:szCs w:val="21"/>
              </w:rPr>
              <w:t>不组织,投标人</w:t>
            </w:r>
            <w:r>
              <w:rPr>
                <w:rFonts w:hint="eastAsia" w:hAnsi="宋体"/>
                <w:color w:val="auto"/>
                <w:szCs w:val="21"/>
              </w:rPr>
              <w:t>可</w:t>
            </w:r>
            <w:r>
              <w:rPr>
                <w:rFonts w:hint="eastAsia"/>
                <w:color w:val="auto"/>
                <w:szCs w:val="21"/>
              </w:rPr>
              <w:t>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00"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10.1</w:t>
            </w:r>
          </w:p>
        </w:tc>
        <w:tc>
          <w:tcPr>
            <w:tcW w:w="1727" w:type="dxa"/>
            <w:vAlign w:val="center"/>
          </w:tcPr>
          <w:p>
            <w:pPr>
              <w:pStyle w:val="18"/>
              <w:spacing w:line="312" w:lineRule="auto"/>
              <w:jc w:val="left"/>
              <w:rPr>
                <w:color w:val="auto"/>
                <w:szCs w:val="21"/>
              </w:rPr>
            </w:pPr>
            <w:r>
              <w:rPr>
                <w:rFonts w:hint="eastAsia"/>
                <w:color w:val="auto"/>
                <w:szCs w:val="21"/>
              </w:rPr>
              <w:t>投标预备会</w:t>
            </w:r>
          </w:p>
        </w:tc>
        <w:tc>
          <w:tcPr>
            <w:tcW w:w="7481" w:type="dxa"/>
            <w:vAlign w:val="center"/>
          </w:tcPr>
          <w:p>
            <w:pPr>
              <w:pStyle w:val="18"/>
              <w:spacing w:line="312" w:lineRule="auto"/>
              <w:rPr>
                <w:color w:val="auto"/>
                <w:szCs w:val="21"/>
              </w:rPr>
            </w:pPr>
            <w:r>
              <w:rPr>
                <w:rFonts w:hint="eastAsia"/>
                <w:color w:val="auto"/>
                <w:szCs w:val="21"/>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66"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10.2</w:t>
            </w:r>
          </w:p>
        </w:tc>
        <w:tc>
          <w:tcPr>
            <w:tcW w:w="1727" w:type="dxa"/>
            <w:vAlign w:val="center"/>
          </w:tcPr>
          <w:p>
            <w:pPr>
              <w:pStyle w:val="18"/>
              <w:spacing w:line="312" w:lineRule="auto"/>
              <w:jc w:val="left"/>
              <w:rPr>
                <w:color w:val="auto"/>
                <w:szCs w:val="21"/>
              </w:rPr>
            </w:pPr>
            <w:r>
              <w:rPr>
                <w:rFonts w:hint="eastAsia"/>
                <w:color w:val="auto"/>
                <w:szCs w:val="21"/>
              </w:rPr>
              <w:t>投标人提出问题的截止时间及方式</w:t>
            </w:r>
          </w:p>
        </w:tc>
        <w:tc>
          <w:tcPr>
            <w:tcW w:w="7481" w:type="dxa"/>
            <w:vAlign w:val="center"/>
          </w:tcPr>
          <w:p>
            <w:pPr>
              <w:pStyle w:val="18"/>
              <w:spacing w:line="312" w:lineRule="auto"/>
              <w:rPr>
                <w:color w:val="auto"/>
                <w:szCs w:val="21"/>
              </w:rPr>
            </w:pPr>
            <w:r>
              <w:rPr>
                <w:rFonts w:hint="eastAsia" w:hAnsi="宋体"/>
                <w:color w:val="auto"/>
                <w:szCs w:val="21"/>
                <w:u w:val="single"/>
              </w:rPr>
              <w:t>2021</w:t>
            </w:r>
            <w:r>
              <w:rPr>
                <w:rFonts w:hint="eastAsia" w:hAnsi="宋体"/>
                <w:color w:val="auto"/>
                <w:szCs w:val="21"/>
              </w:rPr>
              <w:t>年</w:t>
            </w:r>
            <w:r>
              <w:rPr>
                <w:rFonts w:hint="eastAsia" w:hAnsi="宋体"/>
                <w:color w:val="auto"/>
                <w:szCs w:val="21"/>
                <w:u w:val="single"/>
              </w:rPr>
              <w:t>4</w:t>
            </w:r>
            <w:r>
              <w:rPr>
                <w:rFonts w:hint="eastAsia" w:hAnsi="宋体"/>
                <w:color w:val="auto"/>
                <w:szCs w:val="21"/>
              </w:rPr>
              <w:t>月</w:t>
            </w:r>
            <w:r>
              <w:rPr>
                <w:rFonts w:hint="eastAsia" w:hAnsi="宋体"/>
                <w:color w:val="auto"/>
                <w:szCs w:val="21"/>
                <w:u w:val="single"/>
              </w:rPr>
              <w:t>20</w:t>
            </w:r>
            <w:r>
              <w:rPr>
                <w:rFonts w:hint="eastAsia" w:hAnsi="宋体"/>
                <w:color w:val="auto"/>
                <w:szCs w:val="21"/>
              </w:rPr>
              <w:t>日</w:t>
            </w:r>
            <w:r>
              <w:rPr>
                <w:rFonts w:hint="eastAsia" w:hAnsi="宋体"/>
                <w:color w:val="auto"/>
                <w:szCs w:val="21"/>
                <w:u w:val="single"/>
              </w:rPr>
              <w:t>12</w:t>
            </w:r>
            <w:r>
              <w:rPr>
                <w:rFonts w:hint="eastAsia" w:hAnsi="宋体"/>
                <w:color w:val="auto"/>
                <w:szCs w:val="21"/>
              </w:rPr>
              <w:t>时前，</w:t>
            </w:r>
            <w:r>
              <w:rPr>
                <w:color w:val="auto"/>
              </w:rPr>
              <w:fldChar w:fldCharType="begin"/>
            </w:r>
            <w:r>
              <w:rPr>
                <w:color w:val="auto"/>
              </w:rPr>
              <w:instrText xml:space="preserve"> HYPERLINK "mailto:投标人将所遇到的问题以电子邮件形式传至cxzbdlgs@163.com" </w:instrText>
            </w:r>
            <w:r>
              <w:rPr>
                <w:color w:val="auto"/>
              </w:rPr>
              <w:fldChar w:fldCharType="separate"/>
            </w:r>
            <w:r>
              <w:rPr>
                <w:rStyle w:val="42"/>
                <w:rFonts w:hint="eastAsia" w:hAnsi="宋体" w:cs="宋体"/>
                <w:color w:val="auto"/>
                <w:szCs w:val="21"/>
              </w:rPr>
              <w:t>投标人将所遇到的问题以电子邮件形式传至czsctgczx@163.com</w:t>
            </w:r>
            <w:r>
              <w:rPr>
                <w:rStyle w:val="42"/>
                <w:rFonts w:hint="eastAsia" w:hAnsi="宋体" w:cs="宋体"/>
                <w:color w:val="auto"/>
                <w:szCs w:val="21"/>
              </w:rPr>
              <w:fldChar w:fldCharType="end"/>
            </w:r>
            <w:r>
              <w:rPr>
                <w:rFonts w:hint="eastAsia" w:hAnsi="宋体"/>
                <w:color w:val="auto"/>
                <w:szCs w:val="21"/>
              </w:rPr>
              <w:t>(滁州市城投工程咨询管理有限公司电子邮箱)。</w:t>
            </w:r>
            <w:r>
              <w:rPr>
                <w:rFonts w:hint="eastAsia"/>
                <w:color w:val="auto"/>
                <w:szCs w:val="21"/>
              </w:rPr>
              <w:t>招标人</w:t>
            </w:r>
            <w:r>
              <w:rPr>
                <w:rFonts w:hint="eastAsia" w:hAnsi="宋体" w:cs="宋体"/>
                <w:color w:val="auto"/>
                <w:kern w:val="0"/>
                <w:szCs w:val="21"/>
              </w:rPr>
              <w:t>不再集中召开招标答疑会；投标人自行组织勘察现场。</w:t>
            </w:r>
            <w:r>
              <w:rPr>
                <w:rFonts w:hint="eastAsia"/>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10.3</w:t>
            </w:r>
          </w:p>
        </w:tc>
        <w:tc>
          <w:tcPr>
            <w:tcW w:w="1727" w:type="dxa"/>
            <w:vAlign w:val="center"/>
          </w:tcPr>
          <w:p>
            <w:pPr>
              <w:pStyle w:val="18"/>
              <w:spacing w:line="312" w:lineRule="auto"/>
              <w:jc w:val="left"/>
              <w:rPr>
                <w:color w:val="auto"/>
                <w:szCs w:val="21"/>
              </w:rPr>
            </w:pPr>
            <w:r>
              <w:rPr>
                <w:rFonts w:hint="eastAsia"/>
                <w:color w:val="auto"/>
                <w:szCs w:val="21"/>
              </w:rPr>
              <w:t>招标人澄清的时间及方式</w:t>
            </w:r>
          </w:p>
        </w:tc>
        <w:tc>
          <w:tcPr>
            <w:tcW w:w="7481" w:type="dxa"/>
            <w:vAlign w:val="center"/>
          </w:tcPr>
          <w:p>
            <w:pPr>
              <w:spacing w:line="312" w:lineRule="auto"/>
              <w:rPr>
                <w:rFonts w:ascii="宋体"/>
                <w:color w:val="auto"/>
                <w:szCs w:val="21"/>
              </w:rPr>
            </w:pPr>
            <w:r>
              <w:rPr>
                <w:rFonts w:hint="eastAsia" w:ascii="宋体" w:hAnsi="宋体" w:cs="宋体"/>
                <w:color w:val="auto"/>
                <w:szCs w:val="21"/>
                <w:u w:val="single"/>
              </w:rPr>
              <w:t>2021</w:t>
            </w:r>
            <w:r>
              <w:rPr>
                <w:rFonts w:hint="eastAsia" w:ascii="宋体" w:hAnsi="宋体" w:cs="宋体"/>
                <w:color w:val="auto"/>
                <w:szCs w:val="21"/>
              </w:rPr>
              <w:t>年</w:t>
            </w:r>
            <w:r>
              <w:rPr>
                <w:rFonts w:hint="eastAsia" w:ascii="宋体" w:hAnsi="宋体" w:cs="宋体"/>
                <w:color w:val="auto"/>
                <w:szCs w:val="21"/>
                <w:u w:val="single"/>
              </w:rPr>
              <w:t>4</w:t>
            </w:r>
            <w:r>
              <w:rPr>
                <w:rFonts w:hint="eastAsia" w:ascii="宋体" w:hAnsi="宋体" w:cs="宋体"/>
                <w:color w:val="auto"/>
                <w:szCs w:val="21"/>
              </w:rPr>
              <w:t>月</w:t>
            </w:r>
            <w:r>
              <w:rPr>
                <w:rFonts w:hint="eastAsia" w:ascii="宋体" w:hAnsi="宋体" w:cs="宋体"/>
                <w:color w:val="auto"/>
                <w:szCs w:val="21"/>
                <w:u w:val="single"/>
              </w:rPr>
              <w:t>20</w:t>
            </w:r>
            <w:r>
              <w:rPr>
                <w:rFonts w:hint="eastAsia" w:ascii="宋体" w:hAnsi="宋体"/>
                <w:color w:val="auto"/>
              </w:rPr>
              <w:t>日</w:t>
            </w:r>
            <w:r>
              <w:rPr>
                <w:rFonts w:hint="eastAsia" w:ascii="宋体" w:hAnsi="宋体" w:cs="宋体"/>
                <w:color w:val="auto"/>
                <w:szCs w:val="21"/>
                <w:u w:val="single"/>
              </w:rPr>
              <w:t>17</w:t>
            </w:r>
            <w:r>
              <w:rPr>
                <w:rFonts w:hint="eastAsia" w:ascii="宋体" w:hAnsi="宋体" w:cs="宋体"/>
                <w:color w:val="auto"/>
                <w:szCs w:val="21"/>
              </w:rPr>
              <w:t>时后，在国家级滁州经济技术开发区网（http://kfq.chuzhou.gov.cn/index.html）“招标采购”处予以公告。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7"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11.1</w:t>
            </w:r>
          </w:p>
        </w:tc>
        <w:tc>
          <w:tcPr>
            <w:tcW w:w="1727" w:type="dxa"/>
            <w:vAlign w:val="center"/>
          </w:tcPr>
          <w:p>
            <w:pPr>
              <w:pStyle w:val="18"/>
              <w:spacing w:line="312" w:lineRule="auto"/>
              <w:jc w:val="left"/>
              <w:rPr>
                <w:color w:val="auto"/>
                <w:szCs w:val="21"/>
              </w:rPr>
            </w:pPr>
            <w:r>
              <w:rPr>
                <w:rFonts w:hint="eastAsia"/>
                <w:color w:val="auto"/>
                <w:szCs w:val="21"/>
              </w:rPr>
              <w:t>联合体投标</w:t>
            </w:r>
          </w:p>
        </w:tc>
        <w:tc>
          <w:tcPr>
            <w:tcW w:w="7481" w:type="dxa"/>
            <w:vAlign w:val="center"/>
          </w:tcPr>
          <w:p>
            <w:pPr>
              <w:pStyle w:val="18"/>
              <w:spacing w:line="312" w:lineRule="auto"/>
              <w:rPr>
                <w:color w:val="auto"/>
                <w:szCs w:val="21"/>
              </w:rPr>
            </w:pPr>
            <w:r>
              <w:rPr>
                <w:rFonts w:hint="eastAsia"/>
                <w:color w:val="auto"/>
                <w:szCs w:val="21"/>
              </w:rPr>
              <w:t>本次招标</w:t>
            </w:r>
            <w:r>
              <w:rPr>
                <w:rFonts w:hint="eastAsia"/>
                <w:b/>
                <w:bCs/>
                <w:color w:val="auto"/>
                <w:szCs w:val="21"/>
                <w:u w:val="single"/>
              </w:rPr>
              <w:t>不</w:t>
            </w:r>
            <w:r>
              <w:rPr>
                <w:rFonts w:hint="eastAsia"/>
                <w:b/>
                <w:color w:val="auto"/>
                <w:szCs w:val="21"/>
                <w:u w:val="single"/>
              </w:rPr>
              <w:t>接受</w:t>
            </w:r>
            <w:r>
              <w:rPr>
                <w:rFonts w:hint="eastAsia"/>
                <w:color w:val="auto"/>
                <w:szCs w:val="21"/>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8"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12.1</w:t>
            </w:r>
          </w:p>
        </w:tc>
        <w:tc>
          <w:tcPr>
            <w:tcW w:w="1727" w:type="dxa"/>
            <w:vAlign w:val="center"/>
          </w:tcPr>
          <w:p>
            <w:pPr>
              <w:spacing w:line="312" w:lineRule="auto"/>
              <w:jc w:val="left"/>
              <w:rPr>
                <w:rFonts w:ascii="宋体"/>
                <w:color w:val="auto"/>
                <w:szCs w:val="21"/>
              </w:rPr>
            </w:pPr>
            <w:r>
              <w:rPr>
                <w:rFonts w:hint="eastAsia" w:ascii="宋体"/>
                <w:color w:val="auto"/>
                <w:szCs w:val="21"/>
              </w:rPr>
              <w:t>招标代理费及评审费</w:t>
            </w:r>
          </w:p>
        </w:tc>
        <w:tc>
          <w:tcPr>
            <w:tcW w:w="7481" w:type="dxa"/>
            <w:vAlign w:val="center"/>
          </w:tcPr>
          <w:p>
            <w:pPr>
              <w:spacing w:line="312" w:lineRule="auto"/>
              <w:jc w:val="left"/>
              <w:rPr>
                <w:rFonts w:ascii="宋体"/>
                <w:color w:val="auto"/>
              </w:rPr>
            </w:pPr>
            <w:r>
              <w:rPr>
                <w:rFonts w:hint="eastAsia" w:ascii="宋体"/>
                <w:color w:val="auto"/>
              </w:rPr>
              <w:t>招标代理费用：15600元；</w:t>
            </w:r>
            <w:r>
              <w:rPr>
                <w:rFonts w:hint="eastAsia" w:ascii="宋体"/>
                <w:color w:val="auto"/>
                <w:szCs w:val="21"/>
              </w:rPr>
              <w:t>专家评委费另计，以实际支付费用为准。</w:t>
            </w:r>
          </w:p>
          <w:p>
            <w:pPr>
              <w:spacing w:line="312" w:lineRule="auto"/>
              <w:jc w:val="left"/>
              <w:rPr>
                <w:rFonts w:ascii="宋体" w:hAnsi="宋体" w:cs="宋体"/>
                <w:color w:val="auto"/>
                <w:kern w:val="0"/>
                <w:sz w:val="24"/>
              </w:rPr>
            </w:pPr>
            <w:r>
              <w:rPr>
                <w:rFonts w:hint="eastAsia" w:ascii="宋体"/>
                <w:color w:val="auto"/>
              </w:rPr>
              <w:t>支付主体</w:t>
            </w:r>
            <w:r>
              <w:rPr>
                <w:rFonts w:ascii="宋体"/>
                <w:color w:val="auto"/>
              </w:rPr>
              <w:t>:</w:t>
            </w:r>
            <w:r>
              <w:rPr>
                <w:rFonts w:hint="eastAsia" w:ascii="宋体"/>
                <w:color w:val="auto"/>
              </w:rPr>
              <w:t>中标单位，中标单位在获取中标通知书时一次性支付给代理机构。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16.3</w:t>
            </w:r>
          </w:p>
        </w:tc>
        <w:tc>
          <w:tcPr>
            <w:tcW w:w="1727" w:type="dxa"/>
            <w:vAlign w:val="center"/>
          </w:tcPr>
          <w:p>
            <w:pPr>
              <w:spacing w:line="312" w:lineRule="auto"/>
              <w:ind w:right="-27" w:rightChars="-13"/>
              <w:jc w:val="left"/>
              <w:rPr>
                <w:rFonts w:ascii="宋体"/>
                <w:color w:val="auto"/>
                <w:szCs w:val="21"/>
              </w:rPr>
            </w:pPr>
            <w:r>
              <w:rPr>
                <w:rFonts w:hint="eastAsia" w:ascii="宋体"/>
                <w:color w:val="auto"/>
                <w:szCs w:val="21"/>
              </w:rPr>
              <w:t>投标人要求澄清招标文件的截止时间及方式</w:t>
            </w:r>
          </w:p>
        </w:tc>
        <w:tc>
          <w:tcPr>
            <w:tcW w:w="7481" w:type="dxa"/>
            <w:vAlign w:val="center"/>
          </w:tcPr>
          <w:p>
            <w:pPr>
              <w:spacing w:line="312" w:lineRule="auto"/>
              <w:rPr>
                <w:rFonts w:ascii="宋体"/>
                <w:color w:val="auto"/>
                <w:szCs w:val="21"/>
              </w:rPr>
            </w:pPr>
            <w:r>
              <w:rPr>
                <w:rFonts w:hint="eastAsia" w:ascii="宋体"/>
                <w:color w:val="auto"/>
                <w:szCs w:val="21"/>
              </w:rPr>
              <w:t>同表10.2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5"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23.1</w:t>
            </w:r>
          </w:p>
        </w:tc>
        <w:tc>
          <w:tcPr>
            <w:tcW w:w="1727" w:type="dxa"/>
            <w:vAlign w:val="center"/>
          </w:tcPr>
          <w:p>
            <w:pPr>
              <w:pStyle w:val="18"/>
              <w:spacing w:line="312" w:lineRule="auto"/>
              <w:jc w:val="left"/>
              <w:rPr>
                <w:color w:val="auto"/>
                <w:szCs w:val="21"/>
              </w:rPr>
            </w:pPr>
            <w:r>
              <w:rPr>
                <w:color w:val="auto"/>
                <w:szCs w:val="21"/>
              </w:rPr>
              <w:t>投标有效期</w:t>
            </w:r>
          </w:p>
        </w:tc>
        <w:tc>
          <w:tcPr>
            <w:tcW w:w="7481" w:type="dxa"/>
            <w:vAlign w:val="center"/>
          </w:tcPr>
          <w:p>
            <w:pPr>
              <w:pStyle w:val="18"/>
              <w:spacing w:line="312" w:lineRule="auto"/>
              <w:rPr>
                <w:color w:val="auto"/>
                <w:szCs w:val="21"/>
              </w:rPr>
            </w:pPr>
            <w:r>
              <w:rPr>
                <w:rFonts w:hint="eastAsia"/>
                <w:color w:val="auto"/>
                <w:szCs w:val="21"/>
              </w:rPr>
              <w:t>投标有效期为</w:t>
            </w:r>
            <w:r>
              <w:rPr>
                <w:rFonts w:hint="eastAsia"/>
                <w:color w:val="auto"/>
                <w:szCs w:val="21"/>
                <w:u w:val="single"/>
              </w:rPr>
              <w:t>90</w:t>
            </w:r>
            <w:r>
              <w:rPr>
                <w:rFonts w:hint="eastAsia"/>
                <w:color w:val="auto"/>
                <w:szCs w:val="21"/>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24</w:t>
            </w:r>
          </w:p>
        </w:tc>
        <w:tc>
          <w:tcPr>
            <w:tcW w:w="1727" w:type="dxa"/>
            <w:tcBorders>
              <w:right w:val="single" w:color="auto" w:sz="4" w:space="0"/>
            </w:tcBorders>
            <w:vAlign w:val="center"/>
          </w:tcPr>
          <w:p>
            <w:pPr>
              <w:spacing w:line="312" w:lineRule="auto"/>
              <w:jc w:val="left"/>
              <w:rPr>
                <w:rFonts w:ascii="宋体"/>
                <w:szCs w:val="21"/>
              </w:rPr>
            </w:pPr>
            <w:r>
              <w:rPr>
                <w:rFonts w:hint="eastAsia" w:ascii="宋体"/>
                <w:szCs w:val="21"/>
              </w:rPr>
              <w:t>投标保证金</w:t>
            </w:r>
          </w:p>
        </w:tc>
        <w:tc>
          <w:tcPr>
            <w:tcW w:w="7481" w:type="dxa"/>
            <w:tcBorders>
              <w:left w:val="single" w:color="auto" w:sz="4" w:space="0"/>
            </w:tcBorders>
          </w:tcPr>
          <w:p>
            <w:pPr>
              <w:spacing w:line="312" w:lineRule="auto"/>
              <w:rPr>
                <w:rFonts w:ascii="宋体" w:hAnsi="宋体" w:cs="宋体-18030"/>
                <w:szCs w:val="21"/>
              </w:rPr>
            </w:pPr>
            <w:r>
              <w:rPr>
                <w:rFonts w:hint="eastAsia" w:ascii="宋体" w:hAnsi="宋体" w:cs="宋体"/>
                <w:szCs w:val="21"/>
              </w:rPr>
              <w:t>具体要求详见招标公告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25.1</w:t>
            </w:r>
          </w:p>
        </w:tc>
        <w:tc>
          <w:tcPr>
            <w:tcW w:w="1727" w:type="dxa"/>
            <w:vAlign w:val="center"/>
          </w:tcPr>
          <w:p>
            <w:pPr>
              <w:pStyle w:val="18"/>
              <w:spacing w:line="312" w:lineRule="auto"/>
              <w:jc w:val="left"/>
              <w:rPr>
                <w:color w:val="auto"/>
                <w:szCs w:val="21"/>
              </w:rPr>
            </w:pPr>
            <w:r>
              <w:rPr>
                <w:rFonts w:hint="eastAsia"/>
                <w:color w:val="auto"/>
                <w:szCs w:val="21"/>
              </w:rPr>
              <w:t>投标文件数量</w:t>
            </w:r>
          </w:p>
        </w:tc>
        <w:tc>
          <w:tcPr>
            <w:tcW w:w="7481" w:type="dxa"/>
            <w:vAlign w:val="center"/>
          </w:tcPr>
          <w:p>
            <w:pPr>
              <w:widowControl/>
              <w:spacing w:line="312" w:lineRule="auto"/>
              <w:jc w:val="left"/>
              <w:rPr>
                <w:szCs w:val="21"/>
              </w:rPr>
            </w:pPr>
            <w:r>
              <w:rPr>
                <w:rFonts w:hint="eastAsia" w:hAnsi="宋体"/>
                <w:szCs w:val="21"/>
              </w:rPr>
              <w:t>正本1份、副本3份，按</w:t>
            </w:r>
            <w:r>
              <w:rPr>
                <w:rFonts w:hint="eastAsia" w:hAnsi="宋体" w:cs="宋体"/>
                <w:szCs w:val="21"/>
              </w:rPr>
              <w:t>资信标、技术标、商务标</w:t>
            </w:r>
            <w:r>
              <w:rPr>
                <w:rFonts w:hint="eastAsia" w:hAnsi="宋体"/>
                <w:szCs w:val="21"/>
              </w:rPr>
              <w:t>分别装订。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25.2</w:t>
            </w:r>
          </w:p>
        </w:tc>
        <w:tc>
          <w:tcPr>
            <w:tcW w:w="1727" w:type="dxa"/>
            <w:vAlign w:val="center"/>
          </w:tcPr>
          <w:p>
            <w:pPr>
              <w:spacing w:line="312" w:lineRule="auto"/>
              <w:jc w:val="left"/>
              <w:rPr>
                <w:rFonts w:ascii="宋体"/>
                <w:szCs w:val="21"/>
              </w:rPr>
            </w:pPr>
            <w:r>
              <w:rPr>
                <w:rFonts w:hint="eastAsia" w:ascii="宋体"/>
                <w:szCs w:val="21"/>
              </w:rPr>
              <w:t>签字或盖章要求</w:t>
            </w:r>
          </w:p>
        </w:tc>
        <w:tc>
          <w:tcPr>
            <w:tcW w:w="7481" w:type="dxa"/>
            <w:vAlign w:val="center"/>
          </w:tcPr>
          <w:p>
            <w:pPr>
              <w:widowControl/>
              <w:spacing w:line="312" w:lineRule="auto"/>
              <w:jc w:val="left"/>
              <w:rPr>
                <w:rFonts w:ascii="宋体"/>
                <w:szCs w:val="21"/>
              </w:rPr>
            </w:pPr>
            <w:r>
              <w:rPr>
                <w:rFonts w:hint="eastAsia" w:ascii="宋体" w:hAnsi="宋体" w:cs="宋体"/>
                <w:szCs w:val="21"/>
              </w:rPr>
              <w:t>投标文件须按格式文件要求签字或盖章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26.1.1</w:t>
            </w:r>
          </w:p>
        </w:tc>
        <w:tc>
          <w:tcPr>
            <w:tcW w:w="1727" w:type="dxa"/>
            <w:vAlign w:val="center"/>
          </w:tcPr>
          <w:p>
            <w:pPr>
              <w:spacing w:line="312" w:lineRule="auto"/>
              <w:jc w:val="left"/>
              <w:rPr>
                <w:rFonts w:ascii="宋体"/>
                <w:szCs w:val="21"/>
              </w:rPr>
            </w:pPr>
            <w:r>
              <w:rPr>
                <w:rFonts w:hint="eastAsia" w:ascii="宋体" w:hAnsi="宋体" w:cs="宋体"/>
                <w:b/>
                <w:kern w:val="0"/>
                <w:szCs w:val="21"/>
              </w:rPr>
              <w:t>具体密封要求</w:t>
            </w:r>
          </w:p>
        </w:tc>
        <w:tc>
          <w:tcPr>
            <w:tcW w:w="7481" w:type="dxa"/>
            <w:vAlign w:val="center"/>
          </w:tcPr>
          <w:p>
            <w:pPr>
              <w:widowControl/>
              <w:spacing w:line="312" w:lineRule="auto"/>
              <w:jc w:val="left"/>
              <w:rPr>
                <w:rFonts w:ascii="宋体"/>
                <w:szCs w:val="21"/>
              </w:rPr>
            </w:pPr>
            <w:r>
              <w:rPr>
                <w:rFonts w:hint="eastAsia" w:ascii="宋体" w:hAnsi="宋体" w:cs="宋体"/>
                <w:szCs w:val="21"/>
              </w:rPr>
              <w:t>资信标、技术标、商务标须分别密封，进行包装、密封，并在封套加盖投标人单位章。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26.1.2</w:t>
            </w:r>
          </w:p>
        </w:tc>
        <w:tc>
          <w:tcPr>
            <w:tcW w:w="1727" w:type="dxa"/>
            <w:vAlign w:val="center"/>
          </w:tcPr>
          <w:p>
            <w:pPr>
              <w:widowControl/>
              <w:spacing w:line="312" w:lineRule="auto"/>
              <w:jc w:val="left"/>
              <w:rPr>
                <w:rFonts w:ascii="宋体"/>
                <w:szCs w:val="21"/>
              </w:rPr>
            </w:pPr>
            <w:r>
              <w:rPr>
                <w:rFonts w:hint="eastAsia" w:ascii="宋体" w:hAnsi="宋体" w:cs="宋体"/>
                <w:b/>
                <w:kern w:val="0"/>
                <w:szCs w:val="21"/>
              </w:rPr>
              <w:t>封套上应载明的信息</w:t>
            </w:r>
          </w:p>
        </w:tc>
        <w:tc>
          <w:tcPr>
            <w:tcW w:w="7481" w:type="dxa"/>
            <w:vAlign w:val="center"/>
          </w:tcPr>
          <w:p>
            <w:pPr>
              <w:spacing w:line="440" w:lineRule="exact"/>
              <w:rPr>
                <w:rFonts w:ascii="宋体" w:hAnsi="宋体" w:cs="宋体"/>
                <w:szCs w:val="21"/>
                <w:u w:val="single"/>
              </w:rPr>
            </w:pPr>
            <w:r>
              <w:rPr>
                <w:rFonts w:hint="eastAsia" w:ascii="宋体" w:hAnsi="宋体" w:cs="宋体"/>
                <w:szCs w:val="21"/>
              </w:rPr>
              <w:t>投标人地址：</w:t>
            </w:r>
            <w:r>
              <w:rPr>
                <w:rFonts w:hint="eastAsia" w:ascii="宋体" w:hAnsi="宋体" w:cs="宋体"/>
                <w:szCs w:val="21"/>
                <w:u w:val="single"/>
              </w:rPr>
              <w:t xml:space="preserve">                     </w:t>
            </w:r>
          </w:p>
          <w:p>
            <w:pPr>
              <w:spacing w:line="440" w:lineRule="exact"/>
              <w:rPr>
                <w:rFonts w:ascii="宋体" w:hAnsi="宋体" w:cs="宋体"/>
                <w:szCs w:val="21"/>
              </w:rPr>
            </w:pPr>
            <w:r>
              <w:rPr>
                <w:rFonts w:hint="eastAsia" w:ascii="宋体" w:hAnsi="宋体" w:cs="宋体"/>
                <w:szCs w:val="21"/>
              </w:rPr>
              <w:t xml:space="preserve">投标人名称： </w:t>
            </w:r>
            <w:r>
              <w:rPr>
                <w:rFonts w:hint="eastAsia" w:ascii="宋体" w:hAnsi="宋体" w:cs="宋体"/>
                <w:szCs w:val="21"/>
                <w:u w:val="single"/>
              </w:rPr>
              <w:t xml:space="preserve">                   </w:t>
            </w:r>
            <w:r>
              <w:rPr>
                <w:rFonts w:hint="eastAsia" w:ascii="宋体" w:hAnsi="宋体" w:cs="宋体"/>
                <w:szCs w:val="21"/>
              </w:rPr>
              <w:t>（项目名称）投标文件</w:t>
            </w:r>
          </w:p>
          <w:p>
            <w:pPr>
              <w:widowControl/>
              <w:spacing w:line="312" w:lineRule="auto"/>
              <w:ind w:firstLine="88" w:firstLineChars="42"/>
              <w:jc w:val="left"/>
              <w:rPr>
                <w:rFonts w:ascii="宋体"/>
                <w:szCs w:val="21"/>
              </w:rPr>
            </w:pPr>
            <w:r>
              <w:rPr>
                <w:rFonts w:hint="eastAsia" w:ascii="宋体" w:hAnsi="宋体" w:cs="宋体"/>
                <w:szCs w:val="21"/>
              </w:rPr>
              <w:t>在</w:t>
            </w:r>
            <w:r>
              <w:rPr>
                <w:rFonts w:hint="eastAsia" w:ascii="宋体" w:hAnsi="宋体" w:cs="宋体"/>
                <w:szCs w:val="21"/>
                <w:u w:val="single"/>
              </w:rPr>
              <w:t>2021</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分</w:t>
            </w:r>
            <w:r>
              <w:rPr>
                <w:rFonts w:hint="eastAsia" w:ascii="宋体" w:hAnsi="宋体" w:cs="宋体"/>
                <w:szCs w:val="21"/>
              </w:rPr>
              <w:t>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63"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27.1</w:t>
            </w:r>
          </w:p>
        </w:tc>
        <w:tc>
          <w:tcPr>
            <w:tcW w:w="1727" w:type="dxa"/>
            <w:vAlign w:val="center"/>
          </w:tcPr>
          <w:p>
            <w:pPr>
              <w:spacing w:line="312" w:lineRule="auto"/>
              <w:jc w:val="left"/>
              <w:rPr>
                <w:rFonts w:ascii="宋体" w:hAnsi="宋体" w:cs="宋体"/>
                <w:szCs w:val="21"/>
              </w:rPr>
            </w:pPr>
            <w:r>
              <w:rPr>
                <w:rFonts w:hint="eastAsia" w:ascii="宋体" w:hAnsi="宋体" w:cs="宋体"/>
                <w:szCs w:val="21"/>
              </w:rPr>
              <w:t>投标截止时间及投标文件送达地点</w:t>
            </w:r>
          </w:p>
        </w:tc>
        <w:tc>
          <w:tcPr>
            <w:tcW w:w="7481" w:type="dxa"/>
            <w:vAlign w:val="center"/>
          </w:tcPr>
          <w:p>
            <w:pPr>
              <w:wordWrap w:val="0"/>
              <w:spacing w:line="312" w:lineRule="auto"/>
              <w:rPr>
                <w:color w:val="auto"/>
              </w:rPr>
            </w:pPr>
            <w:r>
              <w:rPr>
                <w:rFonts w:hint="eastAsia"/>
                <w:color w:val="auto"/>
              </w:rPr>
              <w:t>1、投标截止时间：2021年:4月22日15时00分。</w:t>
            </w:r>
          </w:p>
          <w:p>
            <w:pPr>
              <w:wordWrap w:val="0"/>
              <w:spacing w:line="312" w:lineRule="auto"/>
              <w:rPr>
                <w:color w:val="auto"/>
              </w:rPr>
            </w:pPr>
            <w:r>
              <w:rPr>
                <w:rFonts w:hint="eastAsia"/>
                <w:color w:val="auto"/>
              </w:rPr>
              <w:t>2、地点：滁州市经济技术开发区管委会主楼3楼财务部【滁州市全椒路155号】</w:t>
            </w:r>
          </w:p>
          <w:p>
            <w:pPr>
              <w:wordWrap w:val="0"/>
              <w:spacing w:line="312" w:lineRule="auto"/>
              <w:rPr>
                <w:color w:val="auto"/>
              </w:rPr>
            </w:pPr>
            <w:r>
              <w:rPr>
                <w:rFonts w:hint="eastAsia"/>
                <w:color w:val="auto"/>
              </w:rPr>
              <w:t>收件人：张二虎   联系方式：15805505430</w:t>
            </w:r>
          </w:p>
          <w:p>
            <w:pPr>
              <w:rPr>
                <w:color w:val="auto"/>
              </w:rPr>
            </w:pPr>
            <w:r>
              <w:rPr>
                <w:rFonts w:hint="eastAsia"/>
                <w:b/>
                <w:color w:val="auto"/>
              </w:rPr>
              <w:t>请投标人现场递交或使用顺丰快递以邮寄形式在投标截止时间前送达至以上地址。如投标截止时间前招标人未收到投标文件，责任自负。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29.1</w:t>
            </w:r>
          </w:p>
        </w:tc>
        <w:tc>
          <w:tcPr>
            <w:tcW w:w="1727" w:type="dxa"/>
            <w:vAlign w:val="center"/>
          </w:tcPr>
          <w:p>
            <w:pPr>
              <w:spacing w:line="312" w:lineRule="auto"/>
              <w:jc w:val="left"/>
              <w:rPr>
                <w:rFonts w:ascii="宋体" w:hAnsi="宋体" w:cs="宋体"/>
                <w:szCs w:val="21"/>
              </w:rPr>
            </w:pPr>
            <w:r>
              <w:rPr>
                <w:rFonts w:hint="eastAsia" w:ascii="宋体" w:hAnsi="宋体" w:cs="宋体"/>
                <w:bCs/>
                <w:szCs w:val="21"/>
              </w:rPr>
              <w:t>开标时间及地点</w:t>
            </w:r>
          </w:p>
        </w:tc>
        <w:tc>
          <w:tcPr>
            <w:tcW w:w="7481" w:type="dxa"/>
            <w:vAlign w:val="center"/>
          </w:tcPr>
          <w:p>
            <w:pPr>
              <w:spacing w:line="440" w:lineRule="exact"/>
              <w:rPr>
                <w:rFonts w:ascii="宋体" w:hAnsi="宋体" w:cs="宋体"/>
                <w:color w:val="auto"/>
                <w:szCs w:val="21"/>
              </w:rPr>
            </w:pPr>
            <w:r>
              <w:rPr>
                <w:rFonts w:hint="eastAsia" w:ascii="宋体" w:hAnsi="宋体" w:cs="宋体"/>
                <w:color w:val="auto"/>
                <w:szCs w:val="21"/>
              </w:rPr>
              <w:t>开标时间：同投标截止时间</w:t>
            </w:r>
          </w:p>
          <w:p>
            <w:pPr>
              <w:spacing w:line="312" w:lineRule="auto"/>
              <w:ind w:firstLine="18" w:firstLineChars="9"/>
              <w:rPr>
                <w:rFonts w:ascii="宋体" w:hAnsi="宋体" w:cs="宋体"/>
                <w:i/>
                <w:color w:val="auto"/>
                <w:szCs w:val="21"/>
              </w:rPr>
            </w:pPr>
            <w:r>
              <w:rPr>
                <w:rFonts w:hint="eastAsia" w:ascii="宋体" w:hAnsi="宋体" w:cs="宋体"/>
                <w:color w:val="auto"/>
                <w:szCs w:val="21"/>
              </w:rPr>
              <w:t>开标地点：</w:t>
            </w:r>
            <w:r>
              <w:rPr>
                <w:rFonts w:hint="eastAsia" w:ascii="宋体" w:hAnsi="宋体"/>
                <w:color w:val="auto"/>
              </w:rPr>
              <w:t>滁州市经济技术开发区管委会</w:t>
            </w:r>
            <w:r>
              <w:rPr>
                <w:rFonts w:ascii="宋体" w:hAnsi="宋体"/>
                <w:color w:val="auto"/>
              </w:rPr>
              <w:t>2号楼三楼会议室【滁州市全椒路155号】。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29.3</w:t>
            </w:r>
          </w:p>
        </w:tc>
        <w:tc>
          <w:tcPr>
            <w:tcW w:w="1727" w:type="dxa"/>
            <w:vAlign w:val="center"/>
          </w:tcPr>
          <w:p>
            <w:pPr>
              <w:spacing w:line="312" w:lineRule="auto"/>
              <w:jc w:val="left"/>
              <w:rPr>
                <w:rFonts w:ascii="宋体" w:hAnsi="宋体" w:cs="宋体"/>
                <w:szCs w:val="21"/>
              </w:rPr>
            </w:pPr>
            <w:r>
              <w:rPr>
                <w:rFonts w:hint="eastAsia" w:ascii="宋体" w:hAnsi="宋体" w:cs="宋体"/>
                <w:szCs w:val="21"/>
              </w:rPr>
              <w:t>开标程序</w:t>
            </w:r>
          </w:p>
        </w:tc>
        <w:tc>
          <w:tcPr>
            <w:tcW w:w="7481" w:type="dxa"/>
            <w:vAlign w:val="center"/>
          </w:tcPr>
          <w:p>
            <w:pPr>
              <w:spacing w:line="440" w:lineRule="exact"/>
              <w:rPr>
                <w:rFonts w:ascii="宋体" w:hAnsi="宋体"/>
                <w:szCs w:val="21"/>
              </w:rPr>
            </w:pPr>
            <w:r>
              <w:rPr>
                <w:rFonts w:hint="eastAsia" w:ascii="宋体" w:hAnsi="宋体"/>
                <w:szCs w:val="21"/>
              </w:rPr>
              <w:t>投标文件密封情况检查：开启标书前检查投标文件密封情况。</w:t>
            </w:r>
          </w:p>
          <w:p>
            <w:pPr>
              <w:spacing w:line="312" w:lineRule="auto"/>
              <w:rPr>
                <w:rFonts w:ascii="宋体" w:hAnsi="宋体" w:cs="宋体"/>
                <w:szCs w:val="21"/>
              </w:rPr>
            </w:pPr>
            <w:r>
              <w:rPr>
                <w:rFonts w:hint="eastAsia" w:ascii="宋体" w:hAnsi="宋体"/>
                <w:szCs w:val="21"/>
              </w:rPr>
              <w:t>开标顺序：先资格审查，再开技术标，最后开商务标。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4"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30.1</w:t>
            </w:r>
          </w:p>
        </w:tc>
        <w:tc>
          <w:tcPr>
            <w:tcW w:w="1727" w:type="dxa"/>
            <w:vAlign w:val="center"/>
          </w:tcPr>
          <w:p>
            <w:pPr>
              <w:pStyle w:val="18"/>
              <w:spacing w:line="312" w:lineRule="auto"/>
              <w:jc w:val="left"/>
              <w:rPr>
                <w:rFonts w:hAnsi="宋体" w:cs="宋体"/>
                <w:color w:val="auto"/>
                <w:szCs w:val="21"/>
              </w:rPr>
            </w:pPr>
            <w:r>
              <w:rPr>
                <w:rFonts w:hint="eastAsia" w:hAnsi="宋体" w:cs="宋体"/>
                <w:color w:val="auto"/>
                <w:szCs w:val="21"/>
              </w:rPr>
              <w:t>评标委员会的组建</w:t>
            </w:r>
          </w:p>
        </w:tc>
        <w:tc>
          <w:tcPr>
            <w:tcW w:w="7481" w:type="dxa"/>
          </w:tcPr>
          <w:p>
            <w:pPr>
              <w:pStyle w:val="18"/>
              <w:spacing w:line="440" w:lineRule="exact"/>
              <w:rPr>
                <w:rFonts w:hAnsi="宋体" w:cs="宋体"/>
                <w:kern w:val="0"/>
                <w:szCs w:val="21"/>
              </w:rPr>
            </w:pPr>
            <w:r>
              <w:rPr>
                <w:rFonts w:hint="eastAsia" w:hAnsi="宋体" w:cs="宋体"/>
                <w:kern w:val="0"/>
                <w:szCs w:val="21"/>
              </w:rPr>
              <w:t>评标委员会由招标人依法组建</w:t>
            </w:r>
          </w:p>
          <w:p>
            <w:pPr>
              <w:pStyle w:val="18"/>
              <w:spacing w:line="312" w:lineRule="auto"/>
              <w:rPr>
                <w:rFonts w:hAnsi="宋体" w:cs="宋体"/>
                <w:color w:val="auto"/>
                <w:szCs w:val="21"/>
                <w:highlight w:val="red"/>
              </w:rPr>
            </w:pPr>
            <w:r>
              <w:rPr>
                <w:rFonts w:hint="eastAsia" w:hAnsi="宋体" w:cs="宋体"/>
                <w:kern w:val="0"/>
                <w:szCs w:val="21"/>
              </w:rPr>
              <w:t>评标委员会人数:</w:t>
            </w:r>
            <w:r>
              <w:rPr>
                <w:rFonts w:hAnsi="宋体"/>
                <w:kern w:val="0"/>
              </w:rPr>
              <w:t>7人</w:t>
            </w:r>
            <w:r>
              <w:rPr>
                <w:rFonts w:hint="eastAsia" w:hAnsi="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32.1.1</w:t>
            </w:r>
          </w:p>
        </w:tc>
        <w:tc>
          <w:tcPr>
            <w:tcW w:w="1727" w:type="dxa"/>
            <w:vAlign w:val="center"/>
          </w:tcPr>
          <w:p>
            <w:pPr>
              <w:pStyle w:val="18"/>
              <w:spacing w:line="312" w:lineRule="auto"/>
              <w:jc w:val="left"/>
              <w:rPr>
                <w:color w:val="auto"/>
                <w:szCs w:val="21"/>
              </w:rPr>
            </w:pPr>
            <w:r>
              <w:rPr>
                <w:rFonts w:hint="eastAsia"/>
                <w:color w:val="auto"/>
                <w:szCs w:val="21"/>
              </w:rPr>
              <w:t>是否授权评标委员会确定中标候选人</w:t>
            </w:r>
          </w:p>
        </w:tc>
        <w:tc>
          <w:tcPr>
            <w:tcW w:w="7481" w:type="dxa"/>
            <w:vAlign w:val="center"/>
          </w:tcPr>
          <w:p>
            <w:pPr>
              <w:pStyle w:val="18"/>
              <w:spacing w:line="312" w:lineRule="auto"/>
              <w:rPr>
                <w:color w:val="auto"/>
                <w:szCs w:val="21"/>
              </w:rPr>
            </w:pPr>
            <w:r>
              <w:rPr>
                <w:rFonts w:hint="eastAsia" w:hAnsi="宋体"/>
                <w:color w:val="auto"/>
                <w:szCs w:val="21"/>
              </w:rPr>
              <w:t>是，评标委员会推荐</w:t>
            </w:r>
            <w:r>
              <w:rPr>
                <w:rFonts w:hAnsi="宋体"/>
                <w:color w:val="auto"/>
              </w:rPr>
              <w:t>2名</w:t>
            </w:r>
            <w:r>
              <w:rPr>
                <w:rFonts w:hint="eastAsia" w:hAnsi="宋体"/>
                <w:color w:val="auto"/>
                <w:szCs w:val="21"/>
              </w:rPr>
              <w:t>中标候选人，并标明顺序。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30" w:hRule="atLeast"/>
          <w:jc w:val="center"/>
        </w:trPr>
        <w:tc>
          <w:tcPr>
            <w:tcW w:w="958" w:type="dxa"/>
            <w:gridSpan w:val="2"/>
            <w:vAlign w:val="center"/>
          </w:tcPr>
          <w:p>
            <w:pPr>
              <w:pStyle w:val="18"/>
              <w:spacing w:line="312" w:lineRule="auto"/>
              <w:jc w:val="center"/>
              <w:rPr>
                <w:color w:val="auto"/>
                <w:szCs w:val="21"/>
              </w:rPr>
            </w:pPr>
            <w:r>
              <w:rPr>
                <w:rFonts w:hint="eastAsia"/>
                <w:color w:val="auto"/>
                <w:szCs w:val="21"/>
              </w:rPr>
              <w:t>32.1.2</w:t>
            </w:r>
          </w:p>
        </w:tc>
        <w:tc>
          <w:tcPr>
            <w:tcW w:w="1727" w:type="dxa"/>
            <w:vAlign w:val="center"/>
          </w:tcPr>
          <w:p>
            <w:pPr>
              <w:pStyle w:val="18"/>
              <w:spacing w:line="312" w:lineRule="auto"/>
              <w:jc w:val="left"/>
              <w:rPr>
                <w:color w:val="auto"/>
                <w:szCs w:val="21"/>
              </w:rPr>
            </w:pPr>
            <w:r>
              <w:rPr>
                <w:rFonts w:hint="eastAsia"/>
                <w:color w:val="auto"/>
                <w:szCs w:val="21"/>
              </w:rPr>
              <w:t>中标结果公告媒介</w:t>
            </w:r>
          </w:p>
        </w:tc>
        <w:tc>
          <w:tcPr>
            <w:tcW w:w="7481" w:type="dxa"/>
            <w:vAlign w:val="center"/>
          </w:tcPr>
          <w:p>
            <w:pPr>
              <w:pStyle w:val="18"/>
              <w:spacing w:line="312" w:lineRule="auto"/>
              <w:rPr>
                <w:color w:val="auto"/>
                <w:spacing w:val="-4"/>
                <w:szCs w:val="21"/>
              </w:rPr>
            </w:pPr>
            <w:r>
              <w:rPr>
                <w:rFonts w:hint="eastAsia" w:hAnsi="宋体" w:cs="宋体"/>
                <w:szCs w:val="21"/>
              </w:rPr>
              <w:t>国家级滁州经济技术开发区网（http://kfq.chuzhou.gov.cn/index.html）</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56"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32.3</w:t>
            </w:r>
          </w:p>
        </w:tc>
        <w:tc>
          <w:tcPr>
            <w:tcW w:w="1727" w:type="dxa"/>
            <w:vAlign w:val="center"/>
          </w:tcPr>
          <w:p>
            <w:pPr>
              <w:spacing w:line="312" w:lineRule="auto"/>
              <w:jc w:val="left"/>
              <w:rPr>
                <w:rFonts w:ascii="宋体"/>
                <w:szCs w:val="21"/>
              </w:rPr>
            </w:pPr>
            <w:r>
              <w:rPr>
                <w:rFonts w:hint="eastAsia" w:ascii="宋体"/>
                <w:szCs w:val="21"/>
              </w:rPr>
              <w:t>中标通知书</w:t>
            </w:r>
          </w:p>
        </w:tc>
        <w:tc>
          <w:tcPr>
            <w:tcW w:w="7481" w:type="dxa"/>
            <w:vAlign w:val="center"/>
          </w:tcPr>
          <w:p>
            <w:pPr>
              <w:spacing w:line="312" w:lineRule="auto"/>
              <w:rPr>
                <w:rFonts w:ascii="宋体"/>
                <w:szCs w:val="21"/>
              </w:rPr>
            </w:pPr>
            <w:r>
              <w:rPr>
                <w:rFonts w:hint="eastAsia" w:ascii="宋体" w:hAnsi="宋体" w:cs="宋体"/>
                <w:szCs w:val="21"/>
              </w:rPr>
              <w:t>中标通知书须加盖招标单位及代理公司公章后方可发出。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5" w:hRule="atLeast"/>
          <w:jc w:val="center"/>
        </w:trPr>
        <w:tc>
          <w:tcPr>
            <w:tcW w:w="958" w:type="dxa"/>
            <w:gridSpan w:val="2"/>
            <w:vAlign w:val="center"/>
          </w:tcPr>
          <w:p>
            <w:pPr>
              <w:spacing w:line="312" w:lineRule="auto"/>
              <w:jc w:val="center"/>
              <w:rPr>
                <w:rFonts w:ascii="宋体" w:cs="宋体"/>
                <w:szCs w:val="21"/>
              </w:rPr>
            </w:pPr>
            <w:r>
              <w:rPr>
                <w:rFonts w:hint="eastAsia" w:ascii="宋体" w:cs="宋体"/>
                <w:szCs w:val="21"/>
              </w:rPr>
              <w:t>36.1</w:t>
            </w:r>
          </w:p>
        </w:tc>
        <w:tc>
          <w:tcPr>
            <w:tcW w:w="1727" w:type="dxa"/>
            <w:vAlign w:val="center"/>
          </w:tcPr>
          <w:p>
            <w:pPr>
              <w:spacing w:line="312" w:lineRule="auto"/>
              <w:jc w:val="left"/>
              <w:rPr>
                <w:rFonts w:ascii="宋体"/>
                <w:szCs w:val="21"/>
              </w:rPr>
            </w:pPr>
            <w:r>
              <w:rPr>
                <w:rFonts w:hint="eastAsia" w:ascii="宋体"/>
                <w:szCs w:val="21"/>
              </w:rPr>
              <w:t>履约担保</w:t>
            </w:r>
          </w:p>
        </w:tc>
        <w:tc>
          <w:tcPr>
            <w:tcW w:w="7481" w:type="dxa"/>
          </w:tcPr>
          <w:p>
            <w:pPr>
              <w:widowControl/>
              <w:spacing w:line="312" w:lineRule="auto"/>
              <w:jc w:val="left"/>
              <w:rPr>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31" w:hRule="atLeast"/>
          <w:jc w:val="center"/>
        </w:trPr>
        <w:tc>
          <w:tcPr>
            <w:tcW w:w="2685" w:type="dxa"/>
            <w:gridSpan w:val="3"/>
            <w:vAlign w:val="center"/>
          </w:tcPr>
          <w:p>
            <w:pPr>
              <w:spacing w:line="312" w:lineRule="auto"/>
              <w:jc w:val="center"/>
              <w:rPr>
                <w:rFonts w:ascii="宋体"/>
                <w:color w:val="auto"/>
                <w:szCs w:val="21"/>
              </w:rPr>
            </w:pPr>
            <w:r>
              <w:rPr>
                <w:rFonts w:hint="eastAsia"/>
                <w:color w:val="auto"/>
                <w:szCs w:val="21"/>
              </w:rPr>
              <w:t>审计费用</w:t>
            </w:r>
            <w:r>
              <w:rPr>
                <w:color w:val="auto"/>
                <w:szCs w:val="21"/>
              </w:rPr>
              <w:t>支付方式</w:t>
            </w:r>
          </w:p>
        </w:tc>
        <w:tc>
          <w:tcPr>
            <w:tcW w:w="7481" w:type="dxa"/>
            <w:vAlign w:val="center"/>
          </w:tcPr>
          <w:p>
            <w:pPr>
              <w:spacing w:line="312" w:lineRule="auto"/>
              <w:rPr>
                <w:rFonts w:ascii="宋体" w:hAnsi="宋体" w:cs="宋体"/>
                <w:color w:val="auto"/>
                <w:szCs w:val="21"/>
              </w:rPr>
            </w:pPr>
            <w:r>
              <w:rPr>
                <w:rFonts w:hint="eastAsia"/>
                <w:color w:val="auto"/>
                <w:szCs w:val="21"/>
              </w:rPr>
              <w:t>中标人在每年年报及发票提交后5个工作日内，招标人支付当年价款的百分之五十，每年一季度报及发票提交后 10 个工作日内，招标人支付当年价款的百分之五十。每延误一天，甲方有权处以1000元的违约金。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57" w:hRule="atLeast"/>
          <w:jc w:val="center"/>
        </w:trPr>
        <w:tc>
          <w:tcPr>
            <w:tcW w:w="2685" w:type="dxa"/>
            <w:gridSpan w:val="3"/>
            <w:vAlign w:val="center"/>
          </w:tcPr>
          <w:p>
            <w:pPr>
              <w:spacing w:line="312" w:lineRule="auto"/>
              <w:jc w:val="center"/>
              <w:rPr>
                <w:rFonts w:ascii="宋体" w:hAnsi="宋体" w:cs="宋体"/>
                <w:szCs w:val="21"/>
              </w:rPr>
            </w:pPr>
            <w:r>
              <w:rPr>
                <w:rFonts w:hint="eastAsia" w:ascii="宋体" w:hAnsi="宋体" w:cs="宋体"/>
                <w:szCs w:val="21"/>
              </w:rPr>
              <w:t>招标文件领取</w:t>
            </w:r>
          </w:p>
        </w:tc>
        <w:tc>
          <w:tcPr>
            <w:tcW w:w="7481" w:type="dxa"/>
            <w:vAlign w:val="center"/>
          </w:tcPr>
          <w:p>
            <w:pPr>
              <w:topLinePunct/>
              <w:spacing w:line="312" w:lineRule="auto"/>
              <w:rPr>
                <w:rFonts w:ascii="宋体" w:hAnsi="宋体" w:cs="宋体"/>
                <w:szCs w:val="21"/>
              </w:rPr>
            </w:pPr>
            <w:r>
              <w:rPr>
                <w:rFonts w:hint="eastAsia" w:ascii="宋体" w:hAnsi="宋体" w:cs="宋体"/>
                <w:szCs w:val="21"/>
              </w:rPr>
              <w:t>领取时间：招标文件发布至投标截止时间</w:t>
            </w:r>
          </w:p>
          <w:p>
            <w:pPr>
              <w:topLinePunct/>
              <w:spacing w:line="312" w:lineRule="auto"/>
              <w:rPr>
                <w:rFonts w:ascii="宋体" w:hAnsi="宋体" w:cs="宋体"/>
                <w:szCs w:val="21"/>
              </w:rPr>
            </w:pPr>
            <w:r>
              <w:rPr>
                <w:rFonts w:hint="eastAsia" w:ascii="宋体" w:hAnsi="宋体" w:cs="宋体"/>
                <w:szCs w:val="21"/>
              </w:rPr>
              <w:t>领取方式：网上下载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58" w:hRule="atLeast"/>
          <w:jc w:val="center"/>
        </w:trPr>
        <w:tc>
          <w:tcPr>
            <w:tcW w:w="646" w:type="dxa"/>
            <w:vAlign w:val="center"/>
          </w:tcPr>
          <w:p>
            <w:pPr>
              <w:widowControl/>
              <w:spacing w:line="312" w:lineRule="auto"/>
              <w:jc w:val="center"/>
              <w:rPr>
                <w:rFonts w:ascii="宋体" w:hAnsi="宋体" w:cs="宋体"/>
                <w:b/>
                <w:bCs/>
                <w:kern w:val="0"/>
                <w:szCs w:val="21"/>
              </w:rPr>
            </w:pPr>
            <w:r>
              <w:rPr>
                <w:rFonts w:hint="eastAsia" w:ascii="宋体" w:hAnsi="宋体" w:cs="宋体"/>
                <w:b/>
                <w:bCs/>
                <w:kern w:val="0"/>
                <w:szCs w:val="21"/>
              </w:rPr>
              <w:t>其他说明</w:t>
            </w:r>
          </w:p>
        </w:tc>
        <w:tc>
          <w:tcPr>
            <w:tcW w:w="9520" w:type="dxa"/>
            <w:gridSpan w:val="3"/>
            <w:vAlign w:val="center"/>
          </w:tcPr>
          <w:p>
            <w:pPr>
              <w:spacing w:line="360" w:lineRule="exact"/>
              <w:rPr>
                <w:szCs w:val="22"/>
              </w:rPr>
            </w:pPr>
            <w:r>
              <w:rPr>
                <w:rFonts w:hint="eastAsia"/>
                <w:szCs w:val="22"/>
              </w:rPr>
              <w:t>1、投标人若为外资企业或法定代表人为非中华人民共和国公民，中标后将投标单位进行网上公示，如有失信行为将取消中标人资格。</w:t>
            </w:r>
          </w:p>
          <w:p>
            <w:pPr>
              <w:spacing w:line="360" w:lineRule="exact"/>
              <w:rPr>
                <w:szCs w:val="22"/>
              </w:rPr>
            </w:pPr>
            <w:r>
              <w:rPr>
                <w:rFonts w:hint="eastAsia"/>
                <w:szCs w:val="22"/>
              </w:rPr>
              <w:t>2、本招标文件前后条款若有不一致之处，在澄清答疑时又未作出明确时，各投标人的投标文件只要满足其中任一条款均视为对招标文件的响应。</w:t>
            </w:r>
          </w:p>
          <w:p>
            <w:pPr>
              <w:spacing w:line="360" w:lineRule="exact"/>
              <w:rPr>
                <w:szCs w:val="22"/>
              </w:rPr>
            </w:pPr>
            <w:r>
              <w:rPr>
                <w:rFonts w:hint="eastAsia"/>
                <w:szCs w:val="22"/>
              </w:rPr>
              <w:t>3、评标委员会只依靠投标人递交的投标文件及其按照招标文件要求提供的所有证明材料进行评审，而不依靠任何外来的证明材料。</w:t>
            </w:r>
          </w:p>
          <w:p>
            <w:pPr>
              <w:spacing w:line="360" w:lineRule="exact"/>
              <w:rPr>
                <w:szCs w:val="22"/>
              </w:rPr>
            </w:pPr>
            <w:r>
              <w:rPr>
                <w:rFonts w:hint="eastAsia"/>
                <w:szCs w:val="22"/>
              </w:rPr>
              <w:t>4、投标人未按招标文件要求递交投标文件的，将被拒绝投标人投标。本招标文件中如有与本条内容不一致之处，按此条规定执行。</w:t>
            </w:r>
          </w:p>
          <w:p>
            <w:pPr>
              <w:autoSpaceDN w:val="0"/>
              <w:spacing w:line="312" w:lineRule="auto"/>
            </w:pPr>
            <w:r>
              <w:rPr>
                <w:rFonts w:hint="eastAsia"/>
                <w:szCs w:val="22"/>
              </w:rPr>
              <w:t>5、</w:t>
            </w:r>
            <w:r>
              <w:rPr>
                <w:rFonts w:hint="eastAsia"/>
                <w:b/>
                <w:bCs/>
              </w:rPr>
              <w:t>本</w:t>
            </w:r>
            <w:r>
              <w:rPr>
                <w:rFonts w:hint="eastAsia" w:ascii="宋体" w:hAnsi="宋体"/>
                <w:b/>
                <w:bCs/>
              </w:rPr>
              <w:t>招标文件</w:t>
            </w:r>
            <w:r>
              <w:rPr>
                <w:rFonts w:hint="eastAsia"/>
                <w:b/>
                <w:bCs/>
              </w:rPr>
              <w:t>条款内容解释权在法律规定的范围内归招标人所有。</w:t>
            </w:r>
          </w:p>
        </w:tc>
      </w:tr>
    </w:tbl>
    <w:p>
      <w:pPr>
        <w:pStyle w:val="6"/>
        <w:pageBreakBefore/>
        <w:numPr>
          <w:ilvl w:val="0"/>
          <w:numId w:val="0"/>
        </w:numPr>
        <w:spacing w:line="312" w:lineRule="auto"/>
        <w:jc w:val="center"/>
        <w:rPr>
          <w:rFonts w:ascii="黑体" w:eastAsia="黑体"/>
          <w:sz w:val="28"/>
          <w:szCs w:val="28"/>
        </w:rPr>
      </w:pPr>
      <w:bookmarkStart w:id="41" w:name="_Toc1530"/>
      <w:bookmarkStart w:id="42" w:name="_Toc449028866"/>
      <w:bookmarkStart w:id="43" w:name="_Toc24747"/>
      <w:r>
        <w:rPr>
          <w:rFonts w:hint="eastAsia" w:ascii="黑体" w:eastAsia="黑体"/>
          <w:sz w:val="28"/>
          <w:szCs w:val="28"/>
        </w:rPr>
        <w:t>二、投标人须知</w:t>
      </w:r>
      <w:bookmarkEnd w:id="41"/>
      <w:bookmarkEnd w:id="42"/>
      <w:bookmarkEnd w:id="43"/>
    </w:p>
    <w:p>
      <w:pPr>
        <w:pStyle w:val="6"/>
        <w:numPr>
          <w:ilvl w:val="0"/>
          <w:numId w:val="0"/>
        </w:numPr>
        <w:spacing w:line="312" w:lineRule="auto"/>
        <w:jc w:val="center"/>
        <w:rPr>
          <w:rFonts w:ascii="黑体" w:eastAsia="黑体"/>
          <w:sz w:val="28"/>
          <w:szCs w:val="28"/>
        </w:rPr>
      </w:pPr>
      <w:bookmarkStart w:id="44" w:name="_Toc449028867"/>
      <w:bookmarkStart w:id="45" w:name="_Toc23599"/>
      <w:bookmarkStart w:id="46" w:name="_Toc25828"/>
      <w:r>
        <w:rPr>
          <w:rFonts w:hint="eastAsia" w:ascii="黑体" w:eastAsia="黑体"/>
          <w:sz w:val="28"/>
          <w:szCs w:val="28"/>
        </w:rPr>
        <w:t>（一）总  则</w:t>
      </w:r>
      <w:bookmarkEnd w:id="44"/>
      <w:bookmarkEnd w:id="45"/>
      <w:bookmarkEnd w:id="46"/>
    </w:p>
    <w:p>
      <w:pPr>
        <w:snapToGrid w:val="0"/>
        <w:spacing w:line="312" w:lineRule="auto"/>
        <w:ind w:firstLine="422" w:firstLineChars="200"/>
        <w:rPr>
          <w:rFonts w:ascii="宋体"/>
          <w:b/>
          <w:szCs w:val="21"/>
        </w:rPr>
      </w:pPr>
      <w:r>
        <w:rPr>
          <w:rFonts w:hint="eastAsia" w:ascii="宋体"/>
          <w:b/>
          <w:szCs w:val="21"/>
        </w:rPr>
        <w:t>1.项目概况</w:t>
      </w:r>
    </w:p>
    <w:p>
      <w:pPr>
        <w:snapToGrid w:val="0"/>
        <w:spacing w:line="312" w:lineRule="auto"/>
        <w:ind w:firstLine="420" w:firstLineChars="200"/>
        <w:rPr>
          <w:rFonts w:ascii="宋体"/>
          <w:szCs w:val="21"/>
          <w:u w:val="single"/>
        </w:rPr>
      </w:pPr>
      <w:r>
        <w:rPr>
          <w:rFonts w:hint="eastAsia" w:ascii="宋体"/>
          <w:szCs w:val="21"/>
        </w:rPr>
        <w:t>1.1本次招标采购项目名称：见投标人须知前附表。</w:t>
      </w:r>
    </w:p>
    <w:p>
      <w:pPr>
        <w:snapToGrid w:val="0"/>
        <w:spacing w:line="312" w:lineRule="auto"/>
        <w:ind w:firstLine="420" w:firstLineChars="200"/>
        <w:rPr>
          <w:rFonts w:ascii="宋体"/>
          <w:szCs w:val="21"/>
          <w:u w:val="single"/>
        </w:rPr>
      </w:pPr>
      <w:r>
        <w:rPr>
          <w:rFonts w:hint="eastAsia" w:ascii="宋体"/>
          <w:szCs w:val="21"/>
        </w:rPr>
        <w:t xml:space="preserve">                招 标 人：见投标人须知前附表。</w:t>
      </w:r>
    </w:p>
    <w:p>
      <w:pPr>
        <w:snapToGrid w:val="0"/>
        <w:spacing w:line="312" w:lineRule="auto"/>
        <w:ind w:firstLine="420" w:firstLineChars="200"/>
        <w:rPr>
          <w:rFonts w:ascii="宋体"/>
          <w:szCs w:val="21"/>
          <w:u w:val="single"/>
        </w:rPr>
      </w:pPr>
      <w:r>
        <w:rPr>
          <w:rFonts w:hint="eastAsia" w:ascii="宋体"/>
          <w:szCs w:val="21"/>
        </w:rPr>
        <w:t xml:space="preserve">               供货期（服务周期）：见投标人须知前附表。</w:t>
      </w:r>
    </w:p>
    <w:p>
      <w:pPr>
        <w:snapToGrid w:val="0"/>
        <w:spacing w:line="312" w:lineRule="auto"/>
        <w:ind w:firstLine="420" w:firstLineChars="200"/>
        <w:rPr>
          <w:rFonts w:ascii="宋体"/>
          <w:szCs w:val="21"/>
          <w:u w:val="single"/>
        </w:rPr>
      </w:pPr>
      <w:r>
        <w:rPr>
          <w:rFonts w:hint="eastAsia" w:ascii="宋体"/>
          <w:szCs w:val="21"/>
        </w:rPr>
        <w:t xml:space="preserve">               供货地点：见投标人须知前附表。</w:t>
      </w:r>
    </w:p>
    <w:p>
      <w:pPr>
        <w:snapToGrid w:val="0"/>
        <w:spacing w:line="312" w:lineRule="auto"/>
        <w:ind w:firstLine="420" w:firstLineChars="200"/>
        <w:rPr>
          <w:rFonts w:ascii="宋体"/>
          <w:szCs w:val="21"/>
          <w:u w:val="single"/>
        </w:rPr>
      </w:pPr>
      <w:r>
        <w:rPr>
          <w:rFonts w:hint="eastAsia" w:ascii="宋体"/>
          <w:szCs w:val="21"/>
        </w:rPr>
        <w:t>1.2招标人及联系人: 见投标人须知前附表。</w:t>
      </w:r>
    </w:p>
    <w:p>
      <w:pPr>
        <w:snapToGrid w:val="0"/>
        <w:spacing w:line="312" w:lineRule="auto"/>
        <w:ind w:firstLine="525" w:firstLineChars="250"/>
        <w:rPr>
          <w:rFonts w:ascii="宋体"/>
          <w:szCs w:val="21"/>
          <w:u w:val="single"/>
        </w:rPr>
      </w:pPr>
      <w:r>
        <w:rPr>
          <w:rFonts w:hint="eastAsia" w:ascii="宋体"/>
          <w:szCs w:val="21"/>
        </w:rPr>
        <w:t xml:space="preserve"> 代理机构及联系人: 见投标人须知前附表。</w:t>
      </w:r>
    </w:p>
    <w:p>
      <w:pPr>
        <w:snapToGrid w:val="0"/>
        <w:spacing w:line="312" w:lineRule="auto"/>
        <w:ind w:firstLine="420" w:firstLineChars="200"/>
        <w:rPr>
          <w:rFonts w:ascii="宋体"/>
          <w:szCs w:val="21"/>
        </w:rPr>
      </w:pPr>
      <w:r>
        <w:rPr>
          <w:rFonts w:hint="eastAsia" w:ascii="宋体"/>
          <w:szCs w:val="21"/>
        </w:rPr>
        <w:t>1.3资金来源：见投标人须知前附表。</w:t>
      </w:r>
    </w:p>
    <w:p>
      <w:pPr>
        <w:snapToGrid w:val="0"/>
        <w:spacing w:line="312" w:lineRule="auto"/>
        <w:ind w:firstLine="420" w:firstLineChars="200"/>
        <w:rPr>
          <w:rFonts w:ascii="宋体"/>
          <w:szCs w:val="21"/>
        </w:rPr>
      </w:pPr>
      <w:r>
        <w:rPr>
          <w:rFonts w:hint="eastAsia" w:ascii="宋体"/>
          <w:szCs w:val="21"/>
        </w:rPr>
        <w:t>1.4本项目预算：见投标人须知前附表。</w:t>
      </w:r>
    </w:p>
    <w:p>
      <w:pPr>
        <w:snapToGrid w:val="0"/>
        <w:spacing w:line="312" w:lineRule="auto"/>
        <w:ind w:firstLine="420" w:firstLineChars="200"/>
        <w:rPr>
          <w:rFonts w:ascii="宋体"/>
          <w:szCs w:val="21"/>
        </w:rPr>
      </w:pPr>
      <w:r>
        <w:rPr>
          <w:rFonts w:hint="eastAsia" w:ascii="宋体"/>
          <w:szCs w:val="21"/>
        </w:rPr>
        <w:t>1.5本项目最高限价：见投标人须知前附表。</w:t>
      </w:r>
    </w:p>
    <w:p>
      <w:pPr>
        <w:snapToGrid w:val="0"/>
        <w:spacing w:line="312" w:lineRule="auto"/>
        <w:ind w:firstLine="422" w:firstLineChars="200"/>
        <w:rPr>
          <w:rFonts w:ascii="宋体"/>
          <w:b/>
          <w:szCs w:val="21"/>
        </w:rPr>
      </w:pPr>
      <w:r>
        <w:rPr>
          <w:rFonts w:hint="eastAsia" w:ascii="宋体"/>
          <w:b/>
          <w:szCs w:val="21"/>
        </w:rPr>
        <w:t>2.招标范围：</w:t>
      </w:r>
    </w:p>
    <w:p>
      <w:pPr>
        <w:snapToGrid w:val="0"/>
        <w:spacing w:line="312" w:lineRule="auto"/>
        <w:ind w:firstLine="420" w:firstLineChars="200"/>
        <w:rPr>
          <w:rFonts w:ascii="宋体"/>
          <w:szCs w:val="21"/>
          <w:u w:val="single"/>
        </w:rPr>
      </w:pPr>
      <w:r>
        <w:rPr>
          <w:rFonts w:hint="eastAsia" w:ascii="宋体"/>
          <w:szCs w:val="21"/>
        </w:rPr>
        <w:t>2.1 采购内容：见投标人须知前附表。</w:t>
      </w:r>
    </w:p>
    <w:p>
      <w:pPr>
        <w:snapToGrid w:val="0"/>
        <w:spacing w:line="312" w:lineRule="auto"/>
        <w:ind w:firstLine="420" w:firstLineChars="200"/>
        <w:rPr>
          <w:rFonts w:ascii="宋体"/>
          <w:szCs w:val="21"/>
        </w:rPr>
      </w:pPr>
      <w:r>
        <w:rPr>
          <w:rFonts w:hint="eastAsia" w:ascii="宋体"/>
          <w:szCs w:val="21"/>
        </w:rPr>
        <w:t>2.2 技术要求：详见招标文件第四章采购需求及要求。</w:t>
      </w:r>
    </w:p>
    <w:p>
      <w:pPr>
        <w:snapToGrid w:val="0"/>
        <w:spacing w:line="312" w:lineRule="auto"/>
        <w:ind w:firstLine="422" w:firstLineChars="200"/>
        <w:rPr>
          <w:rFonts w:ascii="宋体"/>
          <w:b/>
          <w:szCs w:val="21"/>
        </w:rPr>
      </w:pPr>
      <w:r>
        <w:rPr>
          <w:rFonts w:hint="eastAsia" w:ascii="宋体"/>
          <w:b/>
          <w:szCs w:val="21"/>
        </w:rPr>
        <w:t>3.标包划分：</w:t>
      </w:r>
    </w:p>
    <w:p>
      <w:pPr>
        <w:snapToGrid w:val="0"/>
        <w:spacing w:line="312" w:lineRule="auto"/>
        <w:ind w:firstLine="420" w:firstLineChars="200"/>
        <w:rPr>
          <w:rFonts w:ascii="宋体"/>
          <w:szCs w:val="21"/>
        </w:rPr>
      </w:pPr>
      <w:r>
        <w:rPr>
          <w:rFonts w:hint="eastAsia" w:ascii="宋体"/>
          <w:szCs w:val="21"/>
        </w:rPr>
        <w:t>3.1本项目划分：一个标包。</w:t>
      </w:r>
    </w:p>
    <w:p>
      <w:pPr>
        <w:snapToGrid w:val="0"/>
        <w:spacing w:line="312" w:lineRule="auto"/>
        <w:ind w:firstLine="422" w:firstLineChars="200"/>
        <w:rPr>
          <w:rFonts w:ascii="宋体"/>
          <w:b/>
          <w:szCs w:val="21"/>
        </w:rPr>
      </w:pPr>
      <w:r>
        <w:rPr>
          <w:rFonts w:hint="eastAsia" w:ascii="宋体"/>
          <w:b/>
          <w:szCs w:val="21"/>
        </w:rPr>
        <w:t>4.招标方式：</w:t>
      </w:r>
    </w:p>
    <w:p>
      <w:pPr>
        <w:snapToGrid w:val="0"/>
        <w:spacing w:line="312" w:lineRule="auto"/>
        <w:ind w:firstLine="420" w:firstLineChars="200"/>
        <w:rPr>
          <w:rFonts w:ascii="宋体"/>
          <w:szCs w:val="21"/>
        </w:rPr>
      </w:pPr>
      <w:r>
        <w:rPr>
          <w:rFonts w:hint="eastAsia" w:ascii="宋体"/>
          <w:szCs w:val="21"/>
        </w:rPr>
        <w:t>4.1本项目招标方式：见投标人须知前附表。</w:t>
      </w:r>
    </w:p>
    <w:p>
      <w:pPr>
        <w:snapToGrid w:val="0"/>
        <w:spacing w:line="312" w:lineRule="auto"/>
        <w:ind w:firstLine="422" w:firstLineChars="200"/>
        <w:rPr>
          <w:rFonts w:ascii="宋体"/>
          <w:b/>
          <w:szCs w:val="21"/>
        </w:rPr>
      </w:pPr>
      <w:r>
        <w:rPr>
          <w:rFonts w:hint="eastAsia" w:ascii="宋体"/>
          <w:b/>
          <w:szCs w:val="21"/>
        </w:rPr>
        <w:t>5.计价方式：</w:t>
      </w:r>
    </w:p>
    <w:p>
      <w:pPr>
        <w:snapToGrid w:val="0"/>
        <w:spacing w:line="312" w:lineRule="auto"/>
        <w:ind w:firstLine="420" w:firstLineChars="200"/>
        <w:rPr>
          <w:rFonts w:ascii="宋体"/>
          <w:szCs w:val="21"/>
        </w:rPr>
      </w:pPr>
      <w:r>
        <w:rPr>
          <w:rFonts w:hint="eastAsia" w:ascii="宋体"/>
          <w:szCs w:val="21"/>
        </w:rPr>
        <w:t>5.1本次招标项目合同采用</w:t>
      </w:r>
      <w:r>
        <w:rPr>
          <w:rFonts w:hint="eastAsia" w:ascii="宋体" w:hAnsi="宋体"/>
          <w:u w:val="single"/>
        </w:rPr>
        <w:t>固定总价</w:t>
      </w:r>
      <w:r>
        <w:rPr>
          <w:rFonts w:hint="eastAsia" w:ascii="宋体"/>
          <w:szCs w:val="21"/>
          <w:u w:val="single"/>
        </w:rPr>
        <w:t>。</w:t>
      </w:r>
    </w:p>
    <w:p>
      <w:pPr>
        <w:snapToGrid w:val="0"/>
        <w:spacing w:line="312" w:lineRule="auto"/>
        <w:ind w:firstLine="422" w:firstLineChars="200"/>
        <w:rPr>
          <w:rFonts w:ascii="宋体"/>
          <w:b/>
          <w:szCs w:val="21"/>
        </w:rPr>
      </w:pPr>
      <w:r>
        <w:rPr>
          <w:rFonts w:hint="eastAsia" w:ascii="宋体"/>
          <w:b/>
          <w:szCs w:val="21"/>
        </w:rPr>
        <w:t>6.评标办法：</w:t>
      </w:r>
    </w:p>
    <w:p>
      <w:pPr>
        <w:snapToGrid w:val="0"/>
        <w:spacing w:line="312" w:lineRule="auto"/>
        <w:ind w:firstLine="420" w:firstLineChars="200"/>
        <w:rPr>
          <w:rFonts w:ascii="宋体"/>
          <w:szCs w:val="21"/>
        </w:rPr>
      </w:pPr>
      <w:r>
        <w:rPr>
          <w:rFonts w:hint="eastAsia" w:ascii="宋体"/>
          <w:szCs w:val="21"/>
        </w:rPr>
        <w:t>6.1本次招标评标采用</w:t>
      </w:r>
      <w:r>
        <w:rPr>
          <w:rFonts w:hint="eastAsia" w:ascii="宋体"/>
          <w:szCs w:val="21"/>
          <w:u w:val="single"/>
        </w:rPr>
        <w:t xml:space="preserve"> 综合评分法 </w:t>
      </w:r>
      <w:r>
        <w:rPr>
          <w:rFonts w:hint="eastAsia" w:ascii="宋体"/>
          <w:szCs w:val="21"/>
        </w:rPr>
        <w:t>（详见第三章评标办法）</w:t>
      </w:r>
    </w:p>
    <w:p>
      <w:pPr>
        <w:snapToGrid w:val="0"/>
        <w:spacing w:line="312" w:lineRule="auto"/>
        <w:ind w:firstLine="422" w:firstLineChars="200"/>
        <w:rPr>
          <w:rFonts w:ascii="宋体"/>
          <w:b/>
          <w:szCs w:val="21"/>
        </w:rPr>
      </w:pPr>
      <w:r>
        <w:rPr>
          <w:rFonts w:hint="eastAsia" w:ascii="宋体"/>
          <w:b/>
          <w:szCs w:val="21"/>
        </w:rPr>
        <w:t>7.投标人资格：</w:t>
      </w:r>
    </w:p>
    <w:p>
      <w:pPr>
        <w:snapToGrid w:val="0"/>
        <w:spacing w:line="312" w:lineRule="auto"/>
        <w:ind w:firstLine="420" w:firstLineChars="200"/>
        <w:rPr>
          <w:rFonts w:ascii="宋体"/>
          <w:szCs w:val="21"/>
        </w:rPr>
      </w:pPr>
      <w:r>
        <w:rPr>
          <w:rFonts w:hint="eastAsia" w:ascii="宋体"/>
          <w:szCs w:val="21"/>
        </w:rPr>
        <w:t>7.1参与采购活动的投标人必须是满足《中华人民共和国政府采购法》规定条件的法人、其他组织或者自然人；</w:t>
      </w:r>
    </w:p>
    <w:p>
      <w:pPr>
        <w:snapToGrid w:val="0"/>
        <w:spacing w:line="312" w:lineRule="auto"/>
        <w:ind w:firstLine="420" w:firstLineChars="200"/>
        <w:rPr>
          <w:rFonts w:ascii="宋体"/>
          <w:szCs w:val="21"/>
        </w:rPr>
      </w:pPr>
      <w:r>
        <w:rPr>
          <w:rFonts w:hint="eastAsia" w:ascii="宋体"/>
          <w:szCs w:val="21"/>
        </w:rPr>
        <w:t>7.2由于政府采购项目的差异性，投标人在参与具体政府采购项目活动时，应仔细阅读该项目的资质要求,具体见投标人须知前附表。</w:t>
      </w:r>
    </w:p>
    <w:p>
      <w:pPr>
        <w:spacing w:line="312" w:lineRule="auto"/>
        <w:ind w:firstLine="422" w:firstLineChars="200"/>
        <w:rPr>
          <w:b/>
          <w:szCs w:val="21"/>
        </w:rPr>
      </w:pPr>
      <w:r>
        <w:rPr>
          <w:rFonts w:hint="eastAsia"/>
          <w:b/>
          <w:szCs w:val="21"/>
        </w:rPr>
        <w:t>8. 投标费用</w:t>
      </w:r>
    </w:p>
    <w:p>
      <w:pPr>
        <w:snapToGrid w:val="0"/>
        <w:spacing w:line="312" w:lineRule="auto"/>
        <w:ind w:firstLine="420" w:firstLineChars="200"/>
        <w:rPr>
          <w:rFonts w:ascii="宋体"/>
          <w:szCs w:val="21"/>
        </w:rPr>
      </w:pPr>
      <w:r>
        <w:rPr>
          <w:rFonts w:hint="eastAsia" w:ascii="宋体"/>
          <w:szCs w:val="21"/>
        </w:rPr>
        <w:t>8.1投标人准备和参加投标活动发生的费用自理。</w:t>
      </w:r>
    </w:p>
    <w:p>
      <w:pPr>
        <w:spacing w:line="312" w:lineRule="auto"/>
        <w:ind w:firstLine="422" w:firstLineChars="200"/>
        <w:rPr>
          <w:b/>
          <w:szCs w:val="21"/>
        </w:rPr>
      </w:pPr>
      <w:r>
        <w:rPr>
          <w:rFonts w:hint="eastAsia"/>
          <w:b/>
          <w:szCs w:val="21"/>
        </w:rPr>
        <w:t>9.</w:t>
      </w:r>
      <w:bookmarkStart w:id="47" w:name="_Toc152042315"/>
      <w:bookmarkStart w:id="48" w:name="_Toc144974507"/>
      <w:bookmarkStart w:id="49" w:name="_Toc152045539"/>
      <w:bookmarkStart w:id="50" w:name="_Toc296602429"/>
      <w:bookmarkStart w:id="51" w:name="_Toc247527563"/>
      <w:bookmarkStart w:id="52" w:name="_Toc247513962"/>
      <w:bookmarkStart w:id="53" w:name="_Toc247592876"/>
      <w:r>
        <w:rPr>
          <w:rFonts w:hint="eastAsia"/>
          <w:b/>
          <w:szCs w:val="21"/>
        </w:rPr>
        <w:t xml:space="preserve"> 踏勘现场</w:t>
      </w:r>
      <w:bookmarkEnd w:id="47"/>
      <w:bookmarkEnd w:id="48"/>
      <w:bookmarkEnd w:id="49"/>
      <w:bookmarkEnd w:id="50"/>
      <w:bookmarkEnd w:id="51"/>
      <w:bookmarkEnd w:id="52"/>
      <w:bookmarkEnd w:id="53"/>
    </w:p>
    <w:p>
      <w:pPr>
        <w:spacing w:line="312" w:lineRule="auto"/>
        <w:ind w:firstLine="409" w:firstLineChars="195"/>
        <w:rPr>
          <w:rFonts w:ascii="宋体"/>
          <w:szCs w:val="21"/>
        </w:rPr>
      </w:pPr>
      <w:bookmarkStart w:id="54" w:name="_Toc296602430"/>
      <w:bookmarkStart w:id="55" w:name="_Toc247513963"/>
      <w:bookmarkStart w:id="56" w:name="_Toc152045540"/>
      <w:bookmarkStart w:id="57" w:name="_Toc247527564"/>
      <w:bookmarkStart w:id="58" w:name="_Toc247592877"/>
      <w:bookmarkStart w:id="59" w:name="_Toc144974508"/>
      <w:bookmarkStart w:id="60" w:name="_Toc152042316"/>
      <w:r>
        <w:rPr>
          <w:rFonts w:hint="eastAsia" w:ascii="宋体"/>
          <w:szCs w:val="21"/>
        </w:rPr>
        <w:t>9.1本项目不组织踏勘现场,投标人自行组织踏勘现场。</w:t>
      </w:r>
    </w:p>
    <w:p>
      <w:pPr>
        <w:spacing w:line="312" w:lineRule="auto"/>
        <w:ind w:firstLine="409" w:firstLineChars="195"/>
        <w:rPr>
          <w:rFonts w:ascii="宋体"/>
          <w:szCs w:val="21"/>
        </w:rPr>
      </w:pPr>
      <w:r>
        <w:rPr>
          <w:rFonts w:hint="eastAsia" w:ascii="宋体"/>
          <w:szCs w:val="21"/>
        </w:rPr>
        <w:t>9.2 投标人踏勘现场发生的费用自理。</w:t>
      </w:r>
    </w:p>
    <w:p>
      <w:pPr>
        <w:spacing w:line="312" w:lineRule="auto"/>
        <w:ind w:firstLine="409" w:firstLineChars="195"/>
        <w:rPr>
          <w:rFonts w:ascii="宋体"/>
          <w:szCs w:val="21"/>
        </w:rPr>
      </w:pPr>
      <w:r>
        <w:rPr>
          <w:rFonts w:hint="eastAsia" w:ascii="宋体"/>
          <w:szCs w:val="21"/>
        </w:rPr>
        <w:t>9.3 除招标人的原因外，投标人自行负责在踏勘现场中所发生的人员伤亡和财产损失。</w:t>
      </w:r>
    </w:p>
    <w:p>
      <w:pPr>
        <w:spacing w:line="312" w:lineRule="auto"/>
        <w:ind w:firstLine="409" w:firstLineChars="195"/>
        <w:rPr>
          <w:rFonts w:ascii="宋体"/>
          <w:szCs w:val="21"/>
        </w:rPr>
      </w:pPr>
      <w:r>
        <w:rPr>
          <w:rFonts w:hint="eastAsia" w:ascii="宋体"/>
          <w:szCs w:val="21"/>
        </w:rPr>
        <w:t>9.4 招标人在踏勘现场中介绍的场地和相关的周边环境情况，供投标人在编制投标文件时参考，招标人不对投标人据此作出的判断和决策负责。</w:t>
      </w:r>
    </w:p>
    <w:p>
      <w:pPr>
        <w:spacing w:line="312" w:lineRule="auto"/>
        <w:ind w:firstLine="422" w:firstLineChars="200"/>
        <w:rPr>
          <w:b/>
          <w:szCs w:val="21"/>
        </w:rPr>
      </w:pPr>
      <w:r>
        <w:rPr>
          <w:rFonts w:hint="eastAsia"/>
          <w:b/>
          <w:szCs w:val="21"/>
        </w:rPr>
        <w:t>10. 投标预备会</w:t>
      </w:r>
      <w:bookmarkEnd w:id="54"/>
      <w:bookmarkEnd w:id="55"/>
      <w:bookmarkEnd w:id="56"/>
      <w:bookmarkEnd w:id="57"/>
      <w:bookmarkEnd w:id="58"/>
      <w:bookmarkEnd w:id="59"/>
      <w:bookmarkEnd w:id="60"/>
    </w:p>
    <w:p>
      <w:pPr>
        <w:spacing w:line="312" w:lineRule="auto"/>
        <w:ind w:firstLine="409" w:firstLineChars="195"/>
        <w:rPr>
          <w:rFonts w:ascii="宋体"/>
          <w:szCs w:val="21"/>
        </w:rPr>
      </w:pPr>
      <w:r>
        <w:rPr>
          <w:rFonts w:hint="eastAsia" w:ascii="宋体"/>
          <w:szCs w:val="21"/>
        </w:rPr>
        <w:t>10.1投标人须知前附表规定召开投标预备会的，招标人按投标人须知前附表规定的时间和地点召开投标预备会，澄清投标人提出的问题。</w:t>
      </w:r>
    </w:p>
    <w:p>
      <w:pPr>
        <w:spacing w:line="312" w:lineRule="auto"/>
        <w:ind w:firstLine="409" w:firstLineChars="195"/>
        <w:rPr>
          <w:rFonts w:ascii="宋体"/>
          <w:szCs w:val="21"/>
        </w:rPr>
      </w:pPr>
      <w:r>
        <w:rPr>
          <w:rFonts w:hint="eastAsia" w:ascii="宋体"/>
          <w:szCs w:val="21"/>
        </w:rPr>
        <w:t>10.2投标人应在投标人须知前附表规定的时间前，将提出的问题送达招标人，以便招标人澄清。</w:t>
      </w:r>
    </w:p>
    <w:p>
      <w:pPr>
        <w:spacing w:line="312" w:lineRule="auto"/>
        <w:ind w:firstLine="409" w:firstLineChars="195"/>
        <w:rPr>
          <w:rFonts w:ascii="宋体"/>
          <w:szCs w:val="21"/>
        </w:rPr>
      </w:pPr>
      <w:r>
        <w:rPr>
          <w:rFonts w:hint="eastAsia" w:ascii="宋体"/>
          <w:szCs w:val="21"/>
        </w:rPr>
        <w:t>10.3招标人在投标人须知前附表规定的时间，将对投标人所提的问题进行澄清。该澄清内容为招标文件的组成部分。</w:t>
      </w:r>
    </w:p>
    <w:p>
      <w:pPr>
        <w:spacing w:line="312" w:lineRule="auto"/>
        <w:ind w:firstLine="422" w:firstLineChars="200"/>
        <w:rPr>
          <w:b/>
          <w:szCs w:val="21"/>
        </w:rPr>
      </w:pPr>
      <w:r>
        <w:rPr>
          <w:rFonts w:hint="eastAsia"/>
          <w:b/>
          <w:szCs w:val="21"/>
        </w:rPr>
        <w:t>11. 联合投标（本项目不采用）</w:t>
      </w:r>
    </w:p>
    <w:p>
      <w:pPr>
        <w:spacing w:line="312" w:lineRule="auto"/>
        <w:ind w:firstLine="409" w:firstLineChars="195"/>
        <w:rPr>
          <w:rFonts w:ascii="宋体"/>
          <w:szCs w:val="21"/>
        </w:rPr>
      </w:pPr>
      <w:r>
        <w:rPr>
          <w:rFonts w:hint="eastAsia" w:ascii="宋体"/>
          <w:szCs w:val="21"/>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pacing w:line="312" w:lineRule="auto"/>
        <w:ind w:firstLine="409" w:firstLineChars="195"/>
        <w:rPr>
          <w:rFonts w:ascii="宋体"/>
          <w:szCs w:val="21"/>
        </w:rPr>
      </w:pPr>
      <w:r>
        <w:rPr>
          <w:rFonts w:hint="eastAsia" w:ascii="宋体"/>
          <w:szCs w:val="21"/>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312" w:lineRule="auto"/>
        <w:ind w:firstLine="411" w:firstLineChars="196"/>
        <w:rPr>
          <w:rFonts w:ascii="宋体"/>
          <w:szCs w:val="21"/>
        </w:rPr>
      </w:pPr>
      <w:r>
        <w:rPr>
          <w:rFonts w:hint="eastAsia" w:ascii="宋体"/>
          <w:szCs w:val="21"/>
        </w:rPr>
        <w:t>11</w:t>
      </w:r>
      <w:r>
        <w:rPr>
          <w:rFonts w:ascii="宋体"/>
          <w:szCs w:val="21"/>
        </w:rPr>
        <w:t>.</w:t>
      </w:r>
      <w:r>
        <w:rPr>
          <w:rFonts w:hint="eastAsia" w:ascii="宋体"/>
          <w:szCs w:val="21"/>
        </w:rPr>
        <w:t>3 联合体应当确定其中一个单位为投标的全权代表，负责参加投标的一切事务，并承担投标及履约中应承担的全部责任与义务。</w:t>
      </w:r>
    </w:p>
    <w:p>
      <w:pPr>
        <w:pStyle w:val="3"/>
        <w:spacing w:after="0" w:line="312" w:lineRule="auto"/>
        <w:ind w:left="0" w:leftChars="0" w:firstLine="424" w:firstLineChars="202"/>
        <w:rPr>
          <w:rFonts w:ascii="宋体"/>
          <w:szCs w:val="21"/>
        </w:rPr>
      </w:pPr>
      <w:r>
        <w:rPr>
          <w:rFonts w:hint="eastAsia" w:ascii="宋体"/>
          <w:szCs w:val="21"/>
        </w:rPr>
        <w:t>11</w:t>
      </w:r>
      <w:r>
        <w:rPr>
          <w:rFonts w:ascii="宋体"/>
          <w:szCs w:val="21"/>
        </w:rPr>
        <w:t>.</w:t>
      </w:r>
      <w:r>
        <w:rPr>
          <w:rFonts w:hint="eastAsia" w:ascii="宋体"/>
          <w:szCs w:val="21"/>
        </w:rPr>
        <w:t>4 联合体各方应当共同与招标人签订采购合同，就采购合同约定的事项对招标人承担连带责任。</w:t>
      </w:r>
    </w:p>
    <w:p>
      <w:pPr>
        <w:spacing w:line="312" w:lineRule="auto"/>
        <w:ind w:left="210" w:leftChars="100" w:firstLine="211" w:firstLineChars="100"/>
        <w:jc w:val="left"/>
        <w:rPr>
          <w:rFonts w:ascii="宋体"/>
          <w:b/>
          <w:szCs w:val="21"/>
        </w:rPr>
      </w:pPr>
      <w:r>
        <w:rPr>
          <w:rFonts w:hint="eastAsia" w:ascii="宋体"/>
          <w:b/>
          <w:szCs w:val="21"/>
        </w:rPr>
        <w:t>12.招标代理费：</w:t>
      </w:r>
    </w:p>
    <w:p>
      <w:pPr>
        <w:spacing w:line="312" w:lineRule="auto"/>
        <w:ind w:firstLine="210" w:firstLineChars="100"/>
        <w:jc w:val="left"/>
        <w:rPr>
          <w:rFonts w:ascii="宋体"/>
          <w:bCs/>
          <w:szCs w:val="21"/>
        </w:rPr>
      </w:pPr>
      <w:r>
        <w:rPr>
          <w:rFonts w:hint="eastAsia" w:ascii="宋体" w:hAnsi="宋体"/>
          <w:szCs w:val="21"/>
        </w:rPr>
        <w:t>12.1</w:t>
      </w:r>
      <w:r>
        <w:rPr>
          <w:rFonts w:hint="eastAsia" w:ascii="宋体" w:hAnsi="宋体" w:cs="宋体"/>
          <w:szCs w:val="21"/>
        </w:rPr>
        <w:t>本项目的招标代理费详</w:t>
      </w:r>
      <w:r>
        <w:rPr>
          <w:rFonts w:hint="eastAsia" w:ascii="宋体" w:hAnsi="宋体"/>
          <w:szCs w:val="21"/>
        </w:rPr>
        <w:t>见投标人须知前附表。</w:t>
      </w:r>
    </w:p>
    <w:p>
      <w:pPr>
        <w:spacing w:line="312" w:lineRule="auto"/>
        <w:ind w:firstLine="420" w:firstLineChars="200"/>
        <w:rPr>
          <w:rFonts w:ascii="宋体" w:hAnsi="宋体"/>
          <w:b/>
          <w:szCs w:val="21"/>
        </w:rPr>
      </w:pPr>
      <w:r>
        <w:rPr>
          <w:rFonts w:hint="eastAsia" w:ascii="宋体"/>
          <w:bCs/>
          <w:szCs w:val="21"/>
        </w:rPr>
        <w:t xml:space="preserve"> </w:t>
      </w:r>
      <w:r>
        <w:rPr>
          <w:rFonts w:hint="eastAsia" w:ascii="宋体" w:hAnsi="宋体"/>
          <w:b/>
          <w:szCs w:val="21"/>
        </w:rPr>
        <w:t>13.投标人应注意的事项</w:t>
      </w:r>
    </w:p>
    <w:p>
      <w:pPr>
        <w:spacing w:line="312" w:lineRule="auto"/>
        <w:ind w:firstLine="420" w:firstLineChars="200"/>
        <w:rPr>
          <w:rFonts w:ascii="宋体" w:hAnsi="宋体"/>
          <w:szCs w:val="21"/>
        </w:rPr>
      </w:pPr>
      <w:r>
        <w:rPr>
          <w:rFonts w:hint="eastAsia" w:ascii="宋体" w:hAnsi="宋体"/>
          <w:szCs w:val="21"/>
        </w:rPr>
        <w:t>13.1投标人一旦下载了本招标文件并参加投标，即被认为接受了本招标文件中的所有条件和规定。投标人必须严格按招标文件的要求编制投标文件。</w:t>
      </w:r>
    </w:p>
    <w:p>
      <w:pPr>
        <w:spacing w:line="312" w:lineRule="auto"/>
        <w:ind w:firstLine="420" w:firstLineChars="200"/>
        <w:rPr>
          <w:rFonts w:ascii="宋体" w:hAnsi="宋体"/>
          <w:szCs w:val="21"/>
        </w:rPr>
      </w:pPr>
      <w:r>
        <w:rPr>
          <w:rFonts w:hint="eastAsia" w:ascii="宋体" w:hAnsi="宋体"/>
          <w:szCs w:val="21"/>
        </w:rPr>
        <w:t>13.2法定代表人参加开标会议，应携带法定代表人身份证明和本人身份证；委托代理人参加开标会议应携带法定代表人授权书和本人身份证。上述均应为原件。（</w:t>
      </w:r>
      <w:r>
        <w:rPr>
          <w:rFonts w:hint="eastAsia" w:hAnsi="宋体" w:eastAsia="Times New Roman" w:cs="宋体"/>
          <w:szCs w:val="21"/>
        </w:rPr>
        <w:t>本条不作要求</w:t>
      </w:r>
      <w:r>
        <w:rPr>
          <w:rFonts w:hint="eastAsia" w:ascii="宋体" w:hAnsi="宋体"/>
          <w:szCs w:val="21"/>
        </w:rPr>
        <w:t>）</w:t>
      </w:r>
    </w:p>
    <w:p>
      <w:pPr>
        <w:spacing w:line="312" w:lineRule="auto"/>
        <w:ind w:firstLine="420" w:firstLineChars="200"/>
        <w:rPr>
          <w:rFonts w:ascii="宋体" w:hAnsi="宋体"/>
          <w:szCs w:val="21"/>
        </w:rPr>
      </w:pPr>
      <w:r>
        <w:rPr>
          <w:rFonts w:hint="eastAsia" w:ascii="宋体" w:hAnsi="宋体"/>
          <w:szCs w:val="21"/>
        </w:rPr>
        <w:t>13.3 所有投标人的投标保证金都应在投标文件规定的投标保证金缴纳截止时间前缴纳，以资金到账时间为准。（具体要求见招标公告）</w:t>
      </w:r>
    </w:p>
    <w:p>
      <w:pPr>
        <w:spacing w:line="312" w:lineRule="auto"/>
        <w:ind w:firstLine="420" w:firstLineChars="200"/>
        <w:rPr>
          <w:rFonts w:ascii="宋体" w:hAnsi="宋体"/>
          <w:szCs w:val="21"/>
        </w:rPr>
      </w:pPr>
      <w:r>
        <w:rPr>
          <w:rFonts w:hint="eastAsia" w:ascii="宋体" w:hAnsi="宋体"/>
          <w:szCs w:val="21"/>
        </w:rPr>
        <w:t>13.4  法定代表人为同一个人的两个及两个以上法人，母公司、全资子公司及其控股公司，均不得同时参加本项目同一包别（标段）的投标。</w:t>
      </w:r>
    </w:p>
    <w:p>
      <w:pPr>
        <w:spacing w:line="312" w:lineRule="auto"/>
        <w:ind w:firstLine="411" w:firstLineChars="196"/>
        <w:rPr>
          <w:rFonts w:ascii="宋体" w:hAnsi="宋体"/>
          <w:szCs w:val="21"/>
        </w:rPr>
      </w:pPr>
      <w:r>
        <w:rPr>
          <w:rFonts w:hint="eastAsia" w:ascii="宋体" w:hAnsi="宋体"/>
          <w:szCs w:val="21"/>
        </w:rPr>
        <w:t>13.5  投标人被视为充分熟悉本招标项目所在地的与履行合同有关的各种情况。</w:t>
      </w:r>
    </w:p>
    <w:p>
      <w:pPr>
        <w:spacing w:line="312" w:lineRule="auto"/>
        <w:ind w:firstLine="210" w:firstLineChars="100"/>
        <w:rPr>
          <w:rFonts w:ascii="宋体"/>
          <w:szCs w:val="21"/>
        </w:rPr>
      </w:pPr>
      <w:r>
        <w:rPr>
          <w:rFonts w:hint="eastAsia" w:ascii="宋体" w:hAnsi="宋体"/>
          <w:szCs w:val="21"/>
        </w:rPr>
        <w:t>14.政府采购政策性要求。本项目执行政府采购节约能源、保护环境、扶持不发达地区和少数民族地区、促进中小企业发展等政府采购政策。（</w:t>
      </w:r>
      <w:r>
        <w:rPr>
          <w:rFonts w:hint="eastAsia" w:hAnsi="宋体" w:eastAsia="Times New Roman" w:cs="宋体"/>
          <w:szCs w:val="21"/>
        </w:rPr>
        <w:t>本条不作要求</w:t>
      </w:r>
      <w:r>
        <w:rPr>
          <w:rFonts w:hint="eastAsia" w:ascii="宋体" w:hAnsi="宋体"/>
          <w:szCs w:val="21"/>
        </w:rPr>
        <w:t>）</w:t>
      </w:r>
    </w:p>
    <w:p>
      <w:pPr>
        <w:pStyle w:val="6"/>
        <w:numPr>
          <w:ilvl w:val="0"/>
          <w:numId w:val="0"/>
        </w:numPr>
        <w:spacing w:line="312" w:lineRule="auto"/>
        <w:jc w:val="center"/>
        <w:rPr>
          <w:rFonts w:ascii="黑体" w:eastAsia="黑体"/>
          <w:sz w:val="28"/>
          <w:szCs w:val="28"/>
        </w:rPr>
      </w:pPr>
      <w:bookmarkStart w:id="61" w:name="_Toc25681"/>
      <w:bookmarkStart w:id="62" w:name="_Toc449028868"/>
      <w:bookmarkStart w:id="63" w:name="_Toc6018"/>
      <w:r>
        <w:rPr>
          <w:rFonts w:hint="eastAsia" w:ascii="黑体" w:eastAsia="黑体"/>
          <w:sz w:val="28"/>
          <w:szCs w:val="28"/>
        </w:rPr>
        <w:t>（二）</w:t>
      </w:r>
      <w:bookmarkEnd w:id="61"/>
      <w:bookmarkEnd w:id="62"/>
      <w:bookmarkEnd w:id="63"/>
      <w:r>
        <w:rPr>
          <w:rFonts w:hint="eastAsia" w:ascii="黑体" w:eastAsia="黑体"/>
          <w:sz w:val="28"/>
          <w:szCs w:val="28"/>
        </w:rPr>
        <w:t>招标文件</w:t>
      </w:r>
    </w:p>
    <w:p>
      <w:pPr>
        <w:spacing w:line="312" w:lineRule="auto"/>
        <w:ind w:firstLine="422" w:firstLineChars="200"/>
        <w:rPr>
          <w:b/>
          <w:szCs w:val="21"/>
        </w:rPr>
      </w:pPr>
      <w:r>
        <w:rPr>
          <w:rFonts w:hint="eastAsia"/>
          <w:b/>
          <w:szCs w:val="21"/>
        </w:rPr>
        <w:t>15. 招标文件的编制依据</w:t>
      </w:r>
    </w:p>
    <w:p>
      <w:pPr>
        <w:spacing w:line="312" w:lineRule="auto"/>
        <w:ind w:firstLine="420" w:firstLineChars="200"/>
        <w:rPr>
          <w:rFonts w:ascii="宋体"/>
          <w:szCs w:val="21"/>
        </w:rPr>
      </w:pPr>
      <w:r>
        <w:rPr>
          <w:rFonts w:hint="eastAsia" w:ascii="宋体"/>
          <w:szCs w:val="21"/>
        </w:rPr>
        <w:t>根据《中华人民共和国政府采购法及其实施条例》、《政府采购货物和服务招标投标管理办法》和《中华人民共和国合同法》</w:t>
      </w:r>
      <w:r>
        <w:rPr>
          <w:rFonts w:hint="eastAsia" w:ascii="宋体"/>
          <w:spacing w:val="-2"/>
          <w:szCs w:val="21"/>
        </w:rPr>
        <w:t>等相关法律法规和规章及部、省、市级规范性文件的规定，编制本招标文件。</w:t>
      </w:r>
    </w:p>
    <w:p>
      <w:pPr>
        <w:spacing w:line="312" w:lineRule="auto"/>
        <w:ind w:firstLine="422" w:firstLineChars="200"/>
        <w:rPr>
          <w:b/>
          <w:szCs w:val="21"/>
        </w:rPr>
      </w:pPr>
      <w:r>
        <w:rPr>
          <w:rFonts w:hint="eastAsia"/>
          <w:b/>
          <w:szCs w:val="21"/>
        </w:rPr>
        <w:t>16. 招标文件的组成</w:t>
      </w:r>
    </w:p>
    <w:p>
      <w:pPr>
        <w:spacing w:line="312" w:lineRule="auto"/>
        <w:ind w:firstLine="420" w:firstLineChars="200"/>
        <w:rPr>
          <w:rFonts w:ascii="宋体"/>
          <w:szCs w:val="21"/>
        </w:rPr>
      </w:pPr>
      <w:r>
        <w:rPr>
          <w:rFonts w:hint="eastAsia" w:ascii="宋体"/>
          <w:szCs w:val="21"/>
        </w:rPr>
        <w:t>16.1 招标文件包括内容：</w:t>
      </w:r>
    </w:p>
    <w:p>
      <w:pPr>
        <w:spacing w:line="312" w:lineRule="auto"/>
        <w:ind w:firstLine="1470" w:firstLineChars="700"/>
        <w:rPr>
          <w:rFonts w:ascii="宋体"/>
          <w:szCs w:val="21"/>
        </w:rPr>
      </w:pPr>
      <w:r>
        <w:rPr>
          <w:rFonts w:hint="eastAsia" w:ascii="宋体"/>
          <w:szCs w:val="21"/>
        </w:rPr>
        <w:t>第一章  招标公告</w:t>
      </w:r>
    </w:p>
    <w:p>
      <w:pPr>
        <w:spacing w:line="312" w:lineRule="auto"/>
        <w:ind w:firstLine="1470" w:firstLineChars="700"/>
        <w:rPr>
          <w:rFonts w:ascii="宋体"/>
          <w:szCs w:val="21"/>
        </w:rPr>
      </w:pPr>
      <w:r>
        <w:rPr>
          <w:rFonts w:hint="eastAsia" w:ascii="宋体"/>
          <w:szCs w:val="21"/>
        </w:rPr>
        <w:t>第二章  投标须知</w:t>
      </w:r>
    </w:p>
    <w:p>
      <w:pPr>
        <w:spacing w:line="312" w:lineRule="auto"/>
        <w:ind w:firstLine="1470" w:firstLineChars="700"/>
        <w:rPr>
          <w:rFonts w:ascii="宋体"/>
          <w:szCs w:val="21"/>
        </w:rPr>
      </w:pPr>
      <w:r>
        <w:rPr>
          <w:rFonts w:hint="eastAsia" w:ascii="宋体"/>
          <w:szCs w:val="21"/>
        </w:rPr>
        <w:t>第三章  评标办法</w:t>
      </w:r>
    </w:p>
    <w:p>
      <w:pPr>
        <w:spacing w:line="312" w:lineRule="auto"/>
        <w:ind w:firstLine="1470" w:firstLineChars="700"/>
        <w:rPr>
          <w:rFonts w:ascii="宋体"/>
          <w:szCs w:val="21"/>
        </w:rPr>
      </w:pPr>
      <w:r>
        <w:rPr>
          <w:rFonts w:hint="eastAsia" w:ascii="宋体"/>
          <w:szCs w:val="21"/>
        </w:rPr>
        <w:t>第四章  采购需求及要求</w:t>
      </w:r>
    </w:p>
    <w:p>
      <w:pPr>
        <w:spacing w:line="312" w:lineRule="auto"/>
        <w:ind w:firstLine="1470" w:firstLineChars="700"/>
        <w:rPr>
          <w:rFonts w:ascii="宋体"/>
          <w:szCs w:val="21"/>
        </w:rPr>
      </w:pPr>
      <w:r>
        <w:rPr>
          <w:rFonts w:hint="eastAsia" w:ascii="宋体"/>
          <w:szCs w:val="21"/>
        </w:rPr>
        <w:t>第五章  投标文件格式文本</w:t>
      </w:r>
    </w:p>
    <w:p>
      <w:pPr>
        <w:spacing w:line="312" w:lineRule="auto"/>
        <w:ind w:firstLine="1470" w:firstLineChars="700"/>
        <w:rPr>
          <w:rFonts w:ascii="宋体"/>
          <w:szCs w:val="21"/>
        </w:rPr>
      </w:pPr>
      <w:r>
        <w:rPr>
          <w:rFonts w:hint="eastAsia" w:ascii="宋体"/>
          <w:szCs w:val="21"/>
        </w:rPr>
        <w:t>第六章  招标单位、招标代理机构对本文件的确认</w:t>
      </w:r>
    </w:p>
    <w:p>
      <w:pPr>
        <w:spacing w:line="312" w:lineRule="auto"/>
        <w:rPr>
          <w:rFonts w:ascii="宋体"/>
          <w:szCs w:val="21"/>
        </w:rPr>
      </w:pPr>
      <w:r>
        <w:rPr>
          <w:rFonts w:hint="eastAsia" w:ascii="宋体"/>
          <w:szCs w:val="21"/>
        </w:rPr>
        <w:t xml:space="preserve">   16.2 除16.1内容外，招标答疑亦为招标文件的组成部分，对招标人和投标人起约束作用。</w:t>
      </w:r>
    </w:p>
    <w:p>
      <w:pPr>
        <w:spacing w:line="312" w:lineRule="auto"/>
        <w:rPr>
          <w:rFonts w:ascii="宋体"/>
          <w:szCs w:val="21"/>
        </w:rPr>
      </w:pPr>
      <w:r>
        <w:rPr>
          <w:rFonts w:hint="eastAsia" w:ascii="宋体"/>
          <w:szCs w:val="21"/>
        </w:rPr>
        <w:t xml:space="preserve">   16.3</w:t>
      </w:r>
      <w:r>
        <w:rPr>
          <w:rFonts w:hint="eastAsia" w:ascii="宋体" w:hAnsi="宋体"/>
          <w:szCs w:val="21"/>
        </w:rPr>
        <w:t>投标人应仔细阅读和检查招标文件的全部内容。如发现缺页或附件不全，应及时向采购人提出，以便补齐。如有疑问，应按投标人须知前附表规定的时间和方式提交疑问内容，要求采购人对招标文件予以澄清。</w:t>
      </w:r>
    </w:p>
    <w:p>
      <w:pPr>
        <w:spacing w:line="312" w:lineRule="auto"/>
        <w:rPr>
          <w:rFonts w:ascii="宋体"/>
          <w:szCs w:val="21"/>
        </w:rPr>
      </w:pPr>
      <w:r>
        <w:rPr>
          <w:rFonts w:hint="eastAsia" w:ascii="宋体"/>
          <w:szCs w:val="21"/>
        </w:rPr>
        <w:t xml:space="preserve">   16.4 </w:t>
      </w:r>
      <w:r>
        <w:rPr>
          <w:rFonts w:hint="eastAsia" w:ascii="宋体" w:hAnsi="宋体"/>
          <w:szCs w:val="21"/>
        </w:rPr>
        <w:t>招标文件的澄清将在国家级滁州经济技术开发区网发布，但不指明澄清问题的来源。如果澄清内容影响投标文件编制的，将相应延长投标截止时间。</w:t>
      </w:r>
    </w:p>
    <w:p>
      <w:pPr>
        <w:spacing w:line="312" w:lineRule="auto"/>
        <w:ind w:firstLine="422" w:firstLineChars="200"/>
        <w:rPr>
          <w:rFonts w:ascii="宋体"/>
          <w:b/>
          <w:bCs/>
          <w:szCs w:val="21"/>
        </w:rPr>
      </w:pPr>
      <w:r>
        <w:rPr>
          <w:rFonts w:hint="eastAsia" w:ascii="宋体"/>
          <w:b/>
          <w:bCs/>
          <w:szCs w:val="21"/>
        </w:rPr>
        <w:t>17. 招标文件的修改、补充、解释</w:t>
      </w:r>
    </w:p>
    <w:p>
      <w:pPr>
        <w:spacing w:line="312" w:lineRule="auto"/>
        <w:ind w:firstLine="420" w:firstLineChars="200"/>
        <w:rPr>
          <w:rFonts w:ascii="宋体" w:hAnsi="宋体"/>
          <w:szCs w:val="21"/>
        </w:rPr>
      </w:pPr>
      <w:r>
        <w:rPr>
          <w:rFonts w:hint="eastAsia" w:ascii="宋体"/>
          <w:szCs w:val="21"/>
        </w:rPr>
        <w:t xml:space="preserve">17.1 </w:t>
      </w:r>
      <w:r>
        <w:rPr>
          <w:rFonts w:hint="eastAsia" w:ascii="宋体" w:hAnsi="宋体"/>
          <w:szCs w:val="21"/>
        </w:rPr>
        <w:t>招标文件发出后，招标人在规定的投标截止时间前可对招标文件进行必要的修改和补充，并以澄清公告形式</w:t>
      </w:r>
      <w:r>
        <w:rPr>
          <w:rFonts w:hint="eastAsia" w:ascii="宋体" w:hAnsi="宋体" w:cs="宋体-18030"/>
          <w:szCs w:val="21"/>
        </w:rPr>
        <w:t>在国家级滁州经济技术开发区网（http://kfq.chuzhou.gov.cn/index.html）</w:t>
      </w:r>
      <w:r>
        <w:rPr>
          <w:rFonts w:hint="eastAsia" w:ascii="宋体" w:hAnsi="宋体"/>
          <w:szCs w:val="21"/>
        </w:rPr>
        <w:t xml:space="preserve"> </w:t>
      </w:r>
      <w:r>
        <w:rPr>
          <w:rFonts w:hint="eastAsia" w:ascii="宋体" w:hAnsi="宋体" w:cs="宋体-18030"/>
          <w:szCs w:val="21"/>
        </w:rPr>
        <w:t>予以公告，请各位投标人注意查看有关澄清内容，如不及时查看造成后果由投标人自负。</w:t>
      </w:r>
      <w:r>
        <w:rPr>
          <w:rFonts w:hint="eastAsia" w:ascii="宋体" w:hAnsi="宋体"/>
          <w:szCs w:val="21"/>
        </w:rPr>
        <w:t>招标文件的修改、补充等内容作为招标文件的组成部分，具有约束作用。</w:t>
      </w:r>
    </w:p>
    <w:p>
      <w:pPr>
        <w:spacing w:line="312" w:lineRule="auto"/>
        <w:ind w:firstLine="420" w:firstLineChars="200"/>
        <w:rPr>
          <w:rFonts w:ascii="宋体"/>
          <w:bCs/>
          <w:szCs w:val="21"/>
        </w:rPr>
      </w:pPr>
      <w:r>
        <w:rPr>
          <w:rFonts w:hint="eastAsia" w:ascii="宋体"/>
          <w:bCs/>
          <w:szCs w:val="21"/>
        </w:rPr>
        <w:t>17.2 投标人应在投标截止时间前关注招标信息发布媒体上有关本项目有无变更公告，如不及时查看造成后果由投标人自负。</w:t>
      </w:r>
    </w:p>
    <w:p>
      <w:pPr>
        <w:spacing w:line="312" w:lineRule="auto"/>
        <w:ind w:firstLine="420" w:firstLineChars="200"/>
        <w:rPr>
          <w:rFonts w:ascii="宋体"/>
          <w:bCs/>
          <w:szCs w:val="21"/>
        </w:rPr>
      </w:pPr>
      <w:r>
        <w:rPr>
          <w:rFonts w:hint="eastAsia" w:ascii="宋体"/>
          <w:bCs/>
          <w:szCs w:val="21"/>
        </w:rPr>
        <w:t>17.3招标文件的解释</w:t>
      </w:r>
    </w:p>
    <w:p>
      <w:pPr>
        <w:spacing w:line="312" w:lineRule="auto"/>
        <w:ind w:firstLine="420" w:firstLineChars="200"/>
        <w:rPr>
          <w:szCs w:val="21"/>
        </w:rPr>
      </w:pPr>
      <w:r>
        <w:rPr>
          <w:rFonts w:hint="eastAsia"/>
          <w:szCs w:val="21"/>
        </w:rPr>
        <w:t>本招标文件条款内容解释权在法律规定的范围内归招标人所有。</w:t>
      </w:r>
    </w:p>
    <w:p>
      <w:pPr>
        <w:spacing w:line="312" w:lineRule="auto"/>
        <w:rPr>
          <w:rFonts w:ascii="宋体"/>
          <w:b/>
          <w:szCs w:val="21"/>
        </w:rPr>
      </w:pPr>
      <w:r>
        <w:rPr>
          <w:rFonts w:hint="eastAsia" w:ascii="宋体" w:cs="宋体"/>
          <w:b/>
          <w:szCs w:val="21"/>
        </w:rPr>
        <w:t xml:space="preserve">   </w:t>
      </w:r>
      <w:r>
        <w:rPr>
          <w:rFonts w:hint="eastAsia"/>
          <w:b/>
          <w:szCs w:val="21"/>
        </w:rPr>
        <w:t xml:space="preserve">18. </w:t>
      </w:r>
      <w:r>
        <w:rPr>
          <w:rFonts w:hint="eastAsia" w:ascii="宋体"/>
          <w:b/>
          <w:szCs w:val="21"/>
        </w:rPr>
        <w:t>招标文件的发出</w:t>
      </w:r>
    </w:p>
    <w:p>
      <w:pPr>
        <w:spacing w:line="312" w:lineRule="auto"/>
        <w:ind w:firstLine="315" w:firstLineChars="150"/>
        <w:rPr>
          <w:rFonts w:ascii="宋体"/>
          <w:szCs w:val="21"/>
        </w:rPr>
      </w:pPr>
      <w:r>
        <w:rPr>
          <w:rFonts w:hint="eastAsia" w:ascii="宋体"/>
          <w:szCs w:val="21"/>
        </w:rPr>
        <w:t xml:space="preserve">18.1  </w:t>
      </w:r>
      <w:r>
        <w:rPr>
          <w:rFonts w:hint="eastAsia" w:ascii="宋体" w:hAnsi="宋体"/>
          <w:szCs w:val="21"/>
        </w:rPr>
        <w:t>招标文件、招标文件的澄清、修改、补充及招标答疑等均应在</w:t>
      </w:r>
      <w:r>
        <w:rPr>
          <w:rFonts w:hint="eastAsia" w:ascii="宋体" w:hAnsi="宋体" w:cs="Arial"/>
          <w:szCs w:val="21"/>
        </w:rPr>
        <w:t>国家级滁州经济技术开发区网</w:t>
      </w:r>
      <w:r>
        <w:rPr>
          <w:rFonts w:hint="eastAsia" w:ascii="宋体" w:hAnsi="宋体" w:cs="Arial"/>
          <w:spacing w:val="-4"/>
          <w:szCs w:val="21"/>
        </w:rPr>
        <w:t>（</w:t>
      </w:r>
      <w:r>
        <w:rPr>
          <w:rFonts w:hint="eastAsia" w:ascii="宋体" w:hAnsi="宋体" w:cs="Arial"/>
          <w:szCs w:val="21"/>
        </w:rPr>
        <w:t>http://kfq.chuzhou.gov.cn/index.html</w:t>
      </w:r>
      <w:r>
        <w:rPr>
          <w:rFonts w:hint="eastAsia" w:ascii="宋体" w:hAnsi="宋体" w:cs="Arial"/>
          <w:spacing w:val="-4"/>
          <w:szCs w:val="21"/>
        </w:rPr>
        <w:t>）发出</w:t>
      </w:r>
      <w:r>
        <w:rPr>
          <w:rFonts w:hint="eastAsia" w:ascii="宋体" w:hAnsi="宋体"/>
          <w:szCs w:val="21"/>
        </w:rPr>
        <w:t>。</w:t>
      </w:r>
    </w:p>
    <w:p>
      <w:pPr>
        <w:spacing w:line="400" w:lineRule="exact"/>
        <w:ind w:firstLine="200"/>
        <w:rPr>
          <w:rFonts w:ascii="宋体" w:hAnsi="宋体"/>
          <w:b/>
          <w:szCs w:val="21"/>
        </w:rPr>
      </w:pPr>
      <w:r>
        <w:rPr>
          <w:rFonts w:hint="eastAsia" w:ascii="宋体" w:hAnsi="宋体" w:cs="宋体"/>
          <w:b/>
          <w:szCs w:val="21"/>
        </w:rPr>
        <w:t xml:space="preserve"> </w:t>
      </w:r>
      <w:r>
        <w:rPr>
          <w:rFonts w:hint="eastAsia" w:ascii="宋体" w:hAnsi="宋体"/>
          <w:b/>
          <w:szCs w:val="21"/>
        </w:rPr>
        <w:t>19.最高限价的作用和说明</w:t>
      </w:r>
    </w:p>
    <w:p>
      <w:pPr>
        <w:spacing w:line="312" w:lineRule="auto"/>
        <w:ind w:firstLine="315" w:firstLineChars="150"/>
        <w:rPr>
          <w:rFonts w:ascii="宋体"/>
          <w:b/>
          <w:bCs/>
          <w:szCs w:val="21"/>
        </w:rPr>
      </w:pPr>
      <w:r>
        <w:rPr>
          <w:rFonts w:hint="eastAsia" w:ascii="宋体" w:hAnsi="宋体"/>
          <w:szCs w:val="21"/>
        </w:rPr>
        <w:t>19.1本项目最高限价见投标人须知前附表。</w:t>
      </w:r>
    </w:p>
    <w:p>
      <w:pPr>
        <w:pStyle w:val="6"/>
        <w:numPr>
          <w:ilvl w:val="0"/>
          <w:numId w:val="0"/>
        </w:numPr>
        <w:spacing w:line="312" w:lineRule="auto"/>
        <w:jc w:val="center"/>
        <w:rPr>
          <w:rFonts w:ascii="黑体" w:eastAsia="黑体"/>
          <w:sz w:val="28"/>
          <w:szCs w:val="28"/>
        </w:rPr>
      </w:pPr>
      <w:bookmarkStart w:id="64" w:name="_Toc449028869"/>
      <w:bookmarkStart w:id="65" w:name="_Toc19784"/>
      <w:bookmarkStart w:id="66" w:name="_Toc29839"/>
      <w:r>
        <w:rPr>
          <w:rFonts w:hint="eastAsia" w:ascii="黑体" w:eastAsia="黑体"/>
          <w:sz w:val="28"/>
          <w:szCs w:val="28"/>
        </w:rPr>
        <w:t>（三）投标文件的编制</w:t>
      </w:r>
      <w:bookmarkEnd w:id="64"/>
      <w:bookmarkEnd w:id="65"/>
      <w:bookmarkEnd w:id="66"/>
    </w:p>
    <w:p>
      <w:pPr>
        <w:spacing w:line="312" w:lineRule="auto"/>
        <w:ind w:firstLine="306" w:firstLineChars="145"/>
        <w:rPr>
          <w:rFonts w:ascii="宋体" w:cs="宋体"/>
          <w:b/>
          <w:szCs w:val="21"/>
        </w:rPr>
      </w:pPr>
      <w:r>
        <w:rPr>
          <w:rFonts w:hint="eastAsia"/>
          <w:b/>
          <w:szCs w:val="21"/>
        </w:rPr>
        <w:t xml:space="preserve">20. </w:t>
      </w:r>
      <w:r>
        <w:rPr>
          <w:rFonts w:hint="eastAsia" w:ascii="宋体" w:cs="宋体"/>
          <w:b/>
          <w:szCs w:val="21"/>
        </w:rPr>
        <w:t>投标的语言及度量衡单位</w:t>
      </w:r>
    </w:p>
    <w:p>
      <w:pPr>
        <w:spacing w:line="312" w:lineRule="auto"/>
        <w:ind w:left="267" w:leftChars="127" w:firstLine="105" w:firstLineChars="50"/>
        <w:rPr>
          <w:rFonts w:ascii="宋体"/>
          <w:szCs w:val="21"/>
        </w:rPr>
      </w:pPr>
      <w:r>
        <w:rPr>
          <w:rFonts w:hint="eastAsia" w:ascii="宋体"/>
          <w:szCs w:val="21"/>
        </w:rPr>
        <w:t>20.1投标人的投标书、以及投标人与招标人就投标的所有往来函电，均须使用简体中文。</w:t>
      </w:r>
    </w:p>
    <w:p>
      <w:pPr>
        <w:spacing w:line="312" w:lineRule="auto"/>
        <w:ind w:firstLine="315" w:firstLineChars="150"/>
        <w:rPr>
          <w:rFonts w:ascii="宋体"/>
          <w:szCs w:val="21"/>
        </w:rPr>
      </w:pPr>
      <w:r>
        <w:rPr>
          <w:rFonts w:hint="eastAsia" w:ascii="宋体"/>
          <w:szCs w:val="21"/>
        </w:rPr>
        <w:t xml:space="preserve"> 20.2除招标文件中另有规定外，投标书所使用的度量衡均须采用法定计量单位。</w:t>
      </w:r>
    </w:p>
    <w:p>
      <w:pPr>
        <w:spacing w:line="312" w:lineRule="auto"/>
        <w:ind w:firstLine="207" w:firstLineChars="98"/>
        <w:rPr>
          <w:rFonts w:ascii="宋体" w:hAnsi="宋体"/>
          <w:b/>
          <w:szCs w:val="21"/>
        </w:rPr>
      </w:pPr>
      <w:r>
        <w:rPr>
          <w:rFonts w:hint="eastAsia"/>
          <w:b/>
          <w:szCs w:val="21"/>
        </w:rPr>
        <w:t xml:space="preserve">21. </w:t>
      </w:r>
      <w:r>
        <w:rPr>
          <w:rFonts w:hint="eastAsia" w:ascii="宋体" w:hAnsi="宋体"/>
          <w:b/>
          <w:szCs w:val="21"/>
        </w:rPr>
        <w:t>投标文件的组成</w:t>
      </w:r>
    </w:p>
    <w:p>
      <w:pPr>
        <w:spacing w:line="312" w:lineRule="auto"/>
        <w:ind w:firstLine="420" w:firstLineChars="200"/>
        <w:rPr>
          <w:rFonts w:ascii="宋体"/>
          <w:szCs w:val="21"/>
        </w:rPr>
      </w:pPr>
      <w:r>
        <w:rPr>
          <w:rFonts w:hint="eastAsia" w:ascii="宋体" w:hAnsi="宋体"/>
          <w:szCs w:val="21"/>
        </w:rPr>
        <w:t>投标文件由投标书一（资信证明文件）、投标书二（技术标）和投标书三（商务标）三部分组成，均须单独装订成册和密封。具体详见第六章</w:t>
      </w:r>
      <w:r>
        <w:rPr>
          <w:rFonts w:hint="eastAsia" w:ascii="宋体" w:hAnsi="宋体"/>
          <w:color w:val="000000"/>
          <w:szCs w:val="21"/>
        </w:rPr>
        <w:t>投标文件格式内容。</w:t>
      </w:r>
      <w:r>
        <w:rPr>
          <w:rFonts w:hint="eastAsia"/>
          <w:b/>
          <w:bCs/>
        </w:rPr>
        <w:t>投标文件</w:t>
      </w:r>
      <w:r>
        <w:rPr>
          <w:rFonts w:hint="eastAsia" w:ascii="宋体"/>
          <w:b/>
          <w:bCs/>
          <w:szCs w:val="21"/>
        </w:rPr>
        <w:t>须按顺序装订且按要求签字盖章，投标人所提交的资格文件的完整与否，直接影响投标人的评价，否则造成的一切风险均由投标人自行承担。</w:t>
      </w:r>
    </w:p>
    <w:p>
      <w:pPr>
        <w:spacing w:line="312" w:lineRule="auto"/>
        <w:ind w:firstLine="422" w:firstLineChars="200"/>
        <w:rPr>
          <w:rFonts w:ascii="宋体"/>
          <w:szCs w:val="21"/>
        </w:rPr>
      </w:pPr>
      <w:r>
        <w:rPr>
          <w:rFonts w:hint="eastAsia" w:ascii="宋体"/>
          <w:b/>
          <w:szCs w:val="21"/>
        </w:rPr>
        <w:t>22</w:t>
      </w:r>
      <w:r>
        <w:rPr>
          <w:rFonts w:hint="eastAsia" w:ascii="宋体"/>
          <w:szCs w:val="21"/>
        </w:rPr>
        <w:t>.</w:t>
      </w:r>
      <w:r>
        <w:rPr>
          <w:rFonts w:hint="eastAsia" w:ascii="宋体"/>
          <w:b/>
          <w:szCs w:val="21"/>
        </w:rPr>
        <w:t>投标报价</w:t>
      </w:r>
    </w:p>
    <w:p>
      <w:pPr>
        <w:spacing w:line="440" w:lineRule="exact"/>
        <w:ind w:firstLine="420" w:firstLineChars="200"/>
        <w:rPr>
          <w:rFonts w:ascii="宋体"/>
          <w:color w:val="000000"/>
          <w:szCs w:val="21"/>
        </w:rPr>
      </w:pPr>
      <w:r>
        <w:rPr>
          <w:rFonts w:hint="eastAsia" w:ascii="宋体"/>
          <w:color w:val="000000"/>
          <w:szCs w:val="21"/>
        </w:rPr>
        <w:t>22.1投标报价文件中的单价和总价全部采用人民币表示。投标人的报价应含有服务、利润、税金、政策性文件规定及合同包含的所有风险、责任、义务等，即为完成招标文件要求的服务内容所包含的一切应有费用，采购人后期不再追加费用，投标供应商自行考虑投标风险。</w:t>
      </w:r>
    </w:p>
    <w:p>
      <w:pPr>
        <w:spacing w:line="440" w:lineRule="exact"/>
        <w:ind w:firstLine="420" w:firstLineChars="200"/>
        <w:rPr>
          <w:rFonts w:ascii="宋体"/>
          <w:color w:val="000000"/>
          <w:szCs w:val="21"/>
        </w:rPr>
      </w:pPr>
      <w:r>
        <w:rPr>
          <w:rFonts w:hint="eastAsia" w:ascii="宋体"/>
          <w:color w:val="000000"/>
          <w:szCs w:val="21"/>
        </w:rPr>
        <w:t>22.2投标人只允许有一个方案、一个报价。</w:t>
      </w:r>
    </w:p>
    <w:p>
      <w:pPr>
        <w:spacing w:line="440" w:lineRule="exact"/>
        <w:ind w:firstLine="420" w:firstLineChars="200"/>
        <w:rPr>
          <w:rFonts w:ascii="宋体"/>
          <w:color w:val="000000"/>
          <w:szCs w:val="21"/>
        </w:rPr>
      </w:pPr>
      <w:r>
        <w:rPr>
          <w:rFonts w:hint="eastAsia" w:ascii="宋体"/>
          <w:color w:val="000000"/>
          <w:szCs w:val="21"/>
        </w:rPr>
        <w:t>22.3投标报价的价格是完成项目全部内容（包括后期的相关服务）交付验收的价格，其总价即为履行合同的固定总价。</w:t>
      </w:r>
    </w:p>
    <w:p>
      <w:pPr>
        <w:spacing w:line="440" w:lineRule="exact"/>
        <w:ind w:firstLine="420" w:firstLineChars="200"/>
        <w:rPr>
          <w:rFonts w:ascii="宋体"/>
          <w:color w:val="000000"/>
          <w:szCs w:val="21"/>
        </w:rPr>
      </w:pPr>
      <w:r>
        <w:rPr>
          <w:rFonts w:hint="eastAsia" w:ascii="宋体"/>
          <w:color w:val="000000"/>
          <w:szCs w:val="21"/>
        </w:rPr>
        <w:t>22.4投标报价应由法定代表人或被授权人签署。</w:t>
      </w:r>
    </w:p>
    <w:p>
      <w:pPr>
        <w:spacing w:line="440" w:lineRule="exact"/>
        <w:ind w:firstLine="420" w:firstLineChars="200"/>
        <w:rPr>
          <w:rFonts w:ascii="宋体"/>
          <w:bCs/>
          <w:color w:val="000000"/>
          <w:szCs w:val="21"/>
        </w:rPr>
      </w:pPr>
      <w:r>
        <w:rPr>
          <w:rFonts w:hint="eastAsia" w:ascii="宋体"/>
          <w:bCs/>
          <w:color w:val="000000"/>
          <w:szCs w:val="21"/>
        </w:rPr>
        <w:t>22.5投标人的报价不得高于本次招标最高限价</w:t>
      </w:r>
      <w:r>
        <w:rPr>
          <w:rFonts w:hint="eastAsia" w:ascii="宋体" w:hAnsi="宋体"/>
          <w:b/>
          <w:color w:val="000000"/>
          <w:szCs w:val="21"/>
        </w:rPr>
        <w:t>，</w:t>
      </w:r>
      <w:r>
        <w:rPr>
          <w:rFonts w:hint="eastAsia" w:ascii="宋体" w:hAnsi="宋体"/>
          <w:b/>
          <w:bCs/>
          <w:color w:val="000000"/>
          <w:szCs w:val="21"/>
        </w:rPr>
        <w:t>否则将作为无效投标处理。</w:t>
      </w:r>
    </w:p>
    <w:p>
      <w:pPr>
        <w:spacing w:line="440" w:lineRule="exact"/>
        <w:ind w:firstLine="420" w:firstLineChars="200"/>
        <w:rPr>
          <w:rFonts w:ascii="宋体"/>
          <w:color w:val="000000"/>
          <w:szCs w:val="21"/>
        </w:rPr>
      </w:pPr>
      <w:r>
        <w:rPr>
          <w:rFonts w:hint="eastAsia" w:ascii="宋体"/>
          <w:color w:val="000000"/>
          <w:szCs w:val="21"/>
        </w:rPr>
        <w:t>22.6总投标价中不得包含招标文件要求以外的内容，否则，在评标时不予核减，但在授予合同时，采购人有权将这部分价格从其中标价格中扣除。</w:t>
      </w:r>
    </w:p>
    <w:p>
      <w:pPr>
        <w:spacing w:line="440" w:lineRule="exact"/>
        <w:ind w:firstLine="403" w:firstLineChars="192"/>
        <w:rPr>
          <w:rFonts w:ascii="宋体"/>
          <w:color w:val="000000"/>
          <w:szCs w:val="21"/>
        </w:rPr>
      </w:pPr>
      <w:r>
        <w:rPr>
          <w:rFonts w:hint="eastAsia" w:ascii="宋体"/>
          <w:color w:val="000000"/>
          <w:szCs w:val="21"/>
        </w:rPr>
        <w:t>22.7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spacing w:line="312" w:lineRule="auto"/>
        <w:ind w:firstLine="405" w:firstLineChars="192"/>
        <w:rPr>
          <w:rFonts w:ascii="宋体"/>
          <w:b/>
          <w:szCs w:val="21"/>
        </w:rPr>
      </w:pPr>
      <w:r>
        <w:rPr>
          <w:rFonts w:hint="eastAsia" w:ascii="宋体"/>
          <w:b/>
          <w:szCs w:val="21"/>
        </w:rPr>
        <w:t>24. 投标保证金</w:t>
      </w:r>
    </w:p>
    <w:p>
      <w:pPr>
        <w:spacing w:line="312" w:lineRule="auto"/>
        <w:ind w:firstLine="420" w:firstLineChars="200"/>
        <w:rPr>
          <w:rFonts w:ascii="宋体"/>
          <w:szCs w:val="21"/>
        </w:rPr>
      </w:pPr>
      <w:r>
        <w:rPr>
          <w:rFonts w:hint="eastAsia" w:ascii="宋体"/>
          <w:szCs w:val="21"/>
        </w:rPr>
        <w:t>24.1投标人须知前附表规定递交投标保证金的，投标人在递交投标文件的同时，应按投标人须知前附表规定的金额、担保形式递交投标保证金，并作为其投标文件的组成部分。投标人不按要求提交投标保证金的，评标委员会将否决其投标。</w:t>
      </w:r>
    </w:p>
    <w:p>
      <w:pPr>
        <w:spacing w:line="312" w:lineRule="auto"/>
        <w:ind w:firstLine="420" w:firstLineChars="200"/>
        <w:rPr>
          <w:rFonts w:ascii="宋体"/>
          <w:szCs w:val="21"/>
        </w:rPr>
      </w:pPr>
      <w:r>
        <w:rPr>
          <w:rFonts w:hint="eastAsia" w:ascii="宋体"/>
          <w:szCs w:val="21"/>
        </w:rPr>
        <w:t>24.2自中标通知书发出之日起5个工作日内退还未中标投标人的投标保证金，自采购合同签订之日起5个工作日内退还中标人的投标保证金。</w:t>
      </w:r>
    </w:p>
    <w:p>
      <w:pPr>
        <w:spacing w:line="312" w:lineRule="auto"/>
        <w:ind w:firstLine="420" w:firstLineChars="200"/>
        <w:rPr>
          <w:rFonts w:ascii="宋体"/>
          <w:szCs w:val="21"/>
        </w:rPr>
      </w:pPr>
      <w:r>
        <w:rPr>
          <w:rFonts w:hint="eastAsia" w:ascii="宋体"/>
          <w:szCs w:val="21"/>
        </w:rPr>
        <w:t xml:space="preserve">24.3有下列情形之一的，投标保证金将不予退还： </w:t>
      </w:r>
    </w:p>
    <w:p>
      <w:pPr>
        <w:spacing w:line="312" w:lineRule="auto"/>
        <w:ind w:firstLine="420" w:firstLineChars="200"/>
        <w:rPr>
          <w:rFonts w:ascii="宋体"/>
          <w:szCs w:val="21"/>
        </w:rPr>
      </w:pPr>
      <w:r>
        <w:rPr>
          <w:rFonts w:hint="eastAsia" w:ascii="宋体"/>
          <w:szCs w:val="21"/>
        </w:rPr>
        <w:t>（1）投标人在规定的投标有效期内撤回或修改其投标文件；</w:t>
      </w:r>
    </w:p>
    <w:p>
      <w:pPr>
        <w:spacing w:line="312" w:lineRule="auto"/>
        <w:ind w:firstLine="420" w:firstLineChars="200"/>
        <w:rPr>
          <w:rFonts w:ascii="宋体"/>
          <w:szCs w:val="21"/>
        </w:rPr>
      </w:pPr>
      <w:r>
        <w:rPr>
          <w:rFonts w:hint="eastAsia" w:ascii="宋体"/>
          <w:szCs w:val="21"/>
        </w:rPr>
        <w:t>（2）中标通知书发出后三十天内，中标人无正当理由拒签合同协议书或未按招标文件规定提交履约担保。</w:t>
      </w:r>
    </w:p>
    <w:p>
      <w:pPr>
        <w:spacing w:line="312" w:lineRule="auto"/>
        <w:ind w:firstLine="420" w:firstLineChars="200"/>
        <w:rPr>
          <w:rFonts w:ascii="宋体"/>
          <w:szCs w:val="21"/>
        </w:rPr>
      </w:pPr>
      <w:r>
        <w:rPr>
          <w:rFonts w:hint="eastAsia" w:ascii="宋体"/>
          <w:szCs w:val="21"/>
        </w:rPr>
        <w:t>（3）提供虚假材料谋取中标的；</w:t>
      </w:r>
    </w:p>
    <w:p>
      <w:pPr>
        <w:spacing w:line="312" w:lineRule="auto"/>
        <w:ind w:firstLine="420" w:firstLineChars="200"/>
        <w:rPr>
          <w:rFonts w:ascii="宋体"/>
          <w:szCs w:val="21"/>
        </w:rPr>
      </w:pPr>
      <w:r>
        <w:rPr>
          <w:rFonts w:hint="eastAsia" w:ascii="宋体"/>
          <w:szCs w:val="21"/>
        </w:rPr>
        <w:t>（4）经查实属于陪标、串通投标的等。</w:t>
      </w:r>
    </w:p>
    <w:p>
      <w:pPr>
        <w:pStyle w:val="6"/>
        <w:numPr>
          <w:ilvl w:val="0"/>
          <w:numId w:val="0"/>
        </w:numPr>
        <w:spacing w:line="312" w:lineRule="auto"/>
        <w:jc w:val="center"/>
        <w:rPr>
          <w:rFonts w:ascii="黑体" w:eastAsia="黑体"/>
          <w:sz w:val="28"/>
          <w:szCs w:val="28"/>
        </w:rPr>
      </w:pPr>
      <w:bookmarkStart w:id="67" w:name="_Toc20490"/>
      <w:bookmarkStart w:id="68" w:name="_Toc449028870"/>
      <w:bookmarkStart w:id="69" w:name="_Toc16341"/>
      <w:r>
        <w:rPr>
          <w:rFonts w:hint="eastAsia" w:ascii="黑体" w:eastAsia="黑体"/>
          <w:sz w:val="28"/>
          <w:szCs w:val="28"/>
        </w:rPr>
        <w:t>（四）投标文件的密封和递交</w:t>
      </w:r>
      <w:bookmarkEnd w:id="67"/>
      <w:bookmarkEnd w:id="68"/>
      <w:bookmarkEnd w:id="69"/>
    </w:p>
    <w:p>
      <w:pPr>
        <w:spacing w:line="312" w:lineRule="auto"/>
        <w:rPr>
          <w:rFonts w:ascii="黑体" w:eastAsia="黑体"/>
          <w:b/>
          <w:szCs w:val="21"/>
        </w:rPr>
      </w:pPr>
      <w:r>
        <w:rPr>
          <w:rFonts w:hint="eastAsia" w:ascii="黑体" w:eastAsia="黑体"/>
          <w:b/>
          <w:sz w:val="24"/>
        </w:rPr>
        <w:t xml:space="preserve">  </w:t>
      </w:r>
      <w:r>
        <w:rPr>
          <w:rFonts w:hint="eastAsia" w:ascii="黑体" w:eastAsia="黑体"/>
          <w:b/>
          <w:szCs w:val="21"/>
        </w:rPr>
        <w:t xml:space="preserve"> 25. 投标文件的份数和签署</w:t>
      </w:r>
    </w:p>
    <w:p>
      <w:pPr>
        <w:spacing w:line="312" w:lineRule="auto"/>
        <w:ind w:firstLine="420" w:firstLineChars="200"/>
        <w:rPr>
          <w:rFonts w:ascii="宋体" w:hAnsi="宋体"/>
          <w:szCs w:val="21"/>
        </w:rPr>
      </w:pPr>
      <w:bookmarkStart w:id="70" w:name="_Toc449028871"/>
      <w:r>
        <w:rPr>
          <w:rFonts w:hint="eastAsia" w:ascii="宋体" w:hAnsi="宋体"/>
          <w:szCs w:val="21"/>
        </w:rPr>
        <w:t>25.1  投标文件：正本1份，副本3份；</w:t>
      </w:r>
    </w:p>
    <w:p>
      <w:pPr>
        <w:spacing w:line="380" w:lineRule="exact"/>
        <w:ind w:firstLine="315" w:firstLineChars="150"/>
        <w:jc w:val="left"/>
        <w:rPr>
          <w:rFonts w:ascii="宋体" w:hAnsi="宋体"/>
          <w:szCs w:val="21"/>
        </w:rPr>
      </w:pPr>
      <w:r>
        <w:rPr>
          <w:rFonts w:hint="eastAsia" w:ascii="宋体" w:hAnsi="宋体"/>
          <w:szCs w:val="21"/>
        </w:rPr>
        <w:t>25.2  投标文件的正本和副本均需打印或使用不褪色的蓝、黑墨水笔书写，字迹应清晰易于辩认，并应在投标文件封面的右上角清楚地注明“正本”或“副本”。正本和副本如不符，以正本为准。</w:t>
      </w:r>
    </w:p>
    <w:p>
      <w:pPr>
        <w:spacing w:line="380" w:lineRule="exact"/>
        <w:ind w:firstLine="315" w:firstLineChars="150"/>
        <w:jc w:val="left"/>
        <w:rPr>
          <w:rFonts w:ascii="宋体" w:hAnsi="宋体"/>
          <w:szCs w:val="21"/>
        </w:rPr>
      </w:pPr>
      <w:r>
        <w:rPr>
          <w:rFonts w:hint="eastAsia" w:ascii="宋体" w:hAnsi="宋体"/>
          <w:szCs w:val="21"/>
        </w:rPr>
        <w:t>25.3  投标文件中的授权书、投标函及报价一览表等应当在格式文本要求的相应位置签字和盖章。</w:t>
      </w:r>
    </w:p>
    <w:p>
      <w:pPr>
        <w:spacing w:line="380" w:lineRule="exact"/>
        <w:ind w:firstLine="315" w:firstLineChars="150"/>
        <w:jc w:val="left"/>
        <w:rPr>
          <w:rFonts w:ascii="宋体" w:hAnsi="宋体"/>
          <w:szCs w:val="21"/>
        </w:rPr>
      </w:pPr>
      <w:r>
        <w:rPr>
          <w:rFonts w:hint="eastAsia" w:ascii="宋体" w:hAnsi="宋体"/>
          <w:szCs w:val="21"/>
        </w:rPr>
        <w:t>25.4全套投标文件应无修改和行间插字。如有修改，须在修改处加盖投标单位法定代表人或其委托代理人的印鉴。</w:t>
      </w:r>
    </w:p>
    <w:p>
      <w:pPr>
        <w:spacing w:line="400" w:lineRule="exact"/>
        <w:ind w:firstLine="310" w:firstLineChars="147"/>
        <w:rPr>
          <w:rFonts w:ascii="宋体" w:hAnsi="宋体"/>
          <w:b/>
          <w:szCs w:val="21"/>
        </w:rPr>
      </w:pPr>
      <w:r>
        <w:rPr>
          <w:rFonts w:hint="eastAsia" w:ascii="宋体" w:hAnsi="宋体"/>
          <w:b/>
          <w:szCs w:val="21"/>
        </w:rPr>
        <w:t>26．投标文件的装订、密封和标记</w:t>
      </w:r>
    </w:p>
    <w:p>
      <w:pPr>
        <w:spacing w:line="340" w:lineRule="exact"/>
        <w:ind w:firstLine="315" w:firstLineChars="150"/>
        <w:jc w:val="left"/>
        <w:rPr>
          <w:rFonts w:ascii="宋体" w:hAnsi="宋体"/>
          <w:szCs w:val="21"/>
        </w:rPr>
      </w:pPr>
      <w:r>
        <w:rPr>
          <w:rFonts w:hint="eastAsia" w:ascii="宋体" w:hAnsi="宋体"/>
          <w:szCs w:val="21"/>
        </w:rPr>
        <w:t>26.1  投标文件的装订</w:t>
      </w:r>
    </w:p>
    <w:p>
      <w:pPr>
        <w:spacing w:line="400" w:lineRule="exact"/>
        <w:rPr>
          <w:rFonts w:ascii="宋体" w:hAnsi="宋体"/>
          <w:szCs w:val="21"/>
        </w:rPr>
      </w:pPr>
      <w:r>
        <w:rPr>
          <w:rFonts w:hint="eastAsia" w:ascii="宋体" w:hAnsi="宋体"/>
          <w:szCs w:val="21"/>
        </w:rPr>
        <w:t xml:space="preserve">   26.1.1投标文件应按A4纸大小进行装订，对于较大图、表，可采用A3纸，但需要按A4纸大小进行折叠、装订，资信标、商务标应当分别装订。投标文件的正本与副本应分别装订成册,具体装订要求见投标人须知前附表规定。</w:t>
      </w:r>
    </w:p>
    <w:p>
      <w:pPr>
        <w:spacing w:line="380" w:lineRule="exact"/>
        <w:rPr>
          <w:rFonts w:ascii="宋体" w:hAnsi="宋体"/>
          <w:szCs w:val="21"/>
        </w:rPr>
      </w:pPr>
      <w:r>
        <w:rPr>
          <w:rFonts w:hint="eastAsia" w:ascii="宋体" w:hAnsi="宋体"/>
          <w:szCs w:val="21"/>
        </w:rPr>
        <w:t xml:space="preserve">   26.1.2如果所投项目分有多个包（标段），则投标书必须以包（标段）为单位进行封装，并在密封袋上标识标段号。</w:t>
      </w:r>
    </w:p>
    <w:p>
      <w:pPr>
        <w:spacing w:line="380" w:lineRule="exact"/>
        <w:rPr>
          <w:rFonts w:ascii="宋体" w:hAnsi="宋体"/>
          <w:szCs w:val="21"/>
        </w:rPr>
      </w:pPr>
      <w:r>
        <w:rPr>
          <w:rFonts w:hint="eastAsia" w:ascii="宋体" w:hAnsi="宋体"/>
          <w:szCs w:val="21"/>
        </w:rPr>
        <w:t xml:space="preserve">   26.2  投标文件的密封和标记</w:t>
      </w:r>
    </w:p>
    <w:p>
      <w:pPr>
        <w:spacing w:line="400" w:lineRule="exact"/>
        <w:rPr>
          <w:rFonts w:ascii="宋体" w:hAnsi="宋体"/>
          <w:szCs w:val="21"/>
        </w:rPr>
      </w:pPr>
      <w:r>
        <w:rPr>
          <w:rFonts w:hint="eastAsia" w:ascii="宋体" w:hAnsi="宋体"/>
          <w:szCs w:val="21"/>
        </w:rPr>
        <w:t xml:space="preserve">   26.2.1  资信标、技术标、商务标须分别密封，进行包装、密封，并在封套加盖投标人单位章。</w:t>
      </w:r>
    </w:p>
    <w:p>
      <w:pPr>
        <w:spacing w:line="400" w:lineRule="exact"/>
        <w:rPr>
          <w:rFonts w:ascii="宋体" w:hAnsi="宋体"/>
          <w:szCs w:val="21"/>
        </w:rPr>
      </w:pPr>
      <w:r>
        <w:rPr>
          <w:rFonts w:hint="eastAsia" w:ascii="宋体" w:hAnsi="宋体"/>
          <w:szCs w:val="21"/>
        </w:rPr>
        <w:t xml:space="preserve">   26.2.2 投标文件封套上应写明的内容及具体密封要求见投标人须知前附表。</w:t>
      </w:r>
    </w:p>
    <w:p>
      <w:pPr>
        <w:spacing w:line="400" w:lineRule="exact"/>
        <w:rPr>
          <w:rFonts w:ascii="宋体"/>
          <w:szCs w:val="21"/>
        </w:rPr>
      </w:pPr>
      <w:r>
        <w:rPr>
          <w:rFonts w:hint="eastAsia" w:ascii="宋体" w:hAnsi="宋体"/>
          <w:szCs w:val="21"/>
        </w:rPr>
        <w:t xml:space="preserve">   26.2.3 应按本章第26.2.1项或26.2.2项中大包装袋要求密封和加写标记的投标文件。</w:t>
      </w:r>
    </w:p>
    <w:p>
      <w:pPr>
        <w:spacing w:line="380" w:lineRule="exact"/>
        <w:ind w:firstLine="312" w:firstLineChars="148"/>
        <w:jc w:val="left"/>
        <w:rPr>
          <w:rFonts w:ascii="宋体" w:hAnsi="宋体"/>
          <w:b/>
          <w:szCs w:val="21"/>
        </w:rPr>
      </w:pPr>
      <w:r>
        <w:rPr>
          <w:rFonts w:hint="eastAsia" w:ascii="宋体"/>
          <w:b/>
          <w:szCs w:val="21"/>
        </w:rPr>
        <w:t>27.</w:t>
      </w:r>
      <w:r>
        <w:rPr>
          <w:rFonts w:hint="eastAsia" w:ascii="宋体" w:hAnsi="宋体"/>
          <w:b/>
          <w:szCs w:val="21"/>
        </w:rPr>
        <w:t>投标文件的提交</w:t>
      </w:r>
    </w:p>
    <w:p>
      <w:pPr>
        <w:spacing w:line="400" w:lineRule="exact"/>
        <w:rPr>
          <w:rFonts w:ascii="宋体" w:hAnsi="宋体"/>
          <w:szCs w:val="21"/>
        </w:rPr>
      </w:pPr>
      <w:r>
        <w:rPr>
          <w:rFonts w:hint="eastAsia" w:ascii="宋体" w:hAnsi="宋体"/>
          <w:szCs w:val="21"/>
        </w:rPr>
        <w:t xml:space="preserve">   27.1 投标人应在投标人须知前附表规定的投标截止时间前递交投标文件。</w:t>
      </w:r>
    </w:p>
    <w:p>
      <w:pPr>
        <w:spacing w:line="400" w:lineRule="exact"/>
        <w:rPr>
          <w:rFonts w:ascii="宋体" w:hAnsi="宋体"/>
          <w:szCs w:val="21"/>
        </w:rPr>
      </w:pPr>
      <w:r>
        <w:rPr>
          <w:rFonts w:hint="eastAsia" w:ascii="宋体" w:hAnsi="宋体"/>
          <w:szCs w:val="21"/>
        </w:rPr>
        <w:t xml:space="preserve">   27.2 投标人递交投标文件的地点：见投标人须知前附表。</w:t>
      </w:r>
    </w:p>
    <w:p>
      <w:pPr>
        <w:spacing w:line="400" w:lineRule="exact"/>
        <w:rPr>
          <w:rFonts w:ascii="宋体" w:hAnsi="宋体"/>
          <w:szCs w:val="21"/>
        </w:rPr>
      </w:pPr>
      <w:r>
        <w:rPr>
          <w:rFonts w:hint="eastAsia" w:ascii="宋体" w:hAnsi="宋体"/>
          <w:szCs w:val="21"/>
        </w:rPr>
        <w:t xml:space="preserve">   27.3 除投标人须知前附表另有规定外，投标人所递交的投标文件不予退还。</w:t>
      </w:r>
    </w:p>
    <w:p>
      <w:pPr>
        <w:spacing w:line="400" w:lineRule="exact"/>
        <w:rPr>
          <w:rFonts w:ascii="宋体" w:hAnsi="宋体"/>
          <w:szCs w:val="21"/>
        </w:rPr>
      </w:pPr>
      <w:r>
        <w:rPr>
          <w:rFonts w:hint="eastAsia" w:ascii="宋体" w:hAnsi="宋体"/>
          <w:szCs w:val="21"/>
        </w:rPr>
        <w:t xml:space="preserve">   27.4 招标人收到投标文件后，应让投标单位登记确认。</w:t>
      </w:r>
    </w:p>
    <w:p>
      <w:pPr>
        <w:spacing w:line="400" w:lineRule="exact"/>
        <w:rPr>
          <w:rFonts w:ascii="宋体" w:hAnsi="宋体"/>
          <w:b/>
          <w:szCs w:val="21"/>
        </w:rPr>
      </w:pPr>
      <w:r>
        <w:rPr>
          <w:rFonts w:hint="eastAsia" w:ascii="宋体" w:hAnsi="宋体"/>
          <w:szCs w:val="21"/>
        </w:rPr>
        <w:t xml:space="preserve">   27.5 逾期送达的或者未送达指定地点的投标文件，招标人不予受理。</w:t>
      </w:r>
    </w:p>
    <w:p>
      <w:pPr>
        <w:spacing w:line="380" w:lineRule="exact"/>
        <w:ind w:firstLine="314" w:firstLineChars="149"/>
        <w:rPr>
          <w:rFonts w:ascii="宋体" w:hAnsi="宋体"/>
          <w:b/>
          <w:szCs w:val="21"/>
        </w:rPr>
      </w:pPr>
      <w:r>
        <w:rPr>
          <w:rFonts w:hint="eastAsia" w:ascii="宋体" w:hAnsi="宋体"/>
          <w:b/>
          <w:szCs w:val="21"/>
        </w:rPr>
        <w:t>28．投标文件的补充、修改与撤回</w:t>
      </w:r>
    </w:p>
    <w:p>
      <w:pPr>
        <w:spacing w:line="380" w:lineRule="exact"/>
        <w:ind w:firstLine="315" w:firstLineChars="150"/>
        <w:jc w:val="left"/>
        <w:rPr>
          <w:rFonts w:ascii="宋体" w:hAnsi="宋体"/>
          <w:szCs w:val="21"/>
        </w:rPr>
      </w:pPr>
      <w:r>
        <w:rPr>
          <w:rFonts w:hint="eastAsia" w:ascii="宋体" w:hAnsi="宋体"/>
          <w:szCs w:val="21"/>
        </w:rPr>
        <w:t>28.1  投标人在提交投标文件以后，在规定的投标截止时间之前，可以书面形式补充、修改或撤回已提交的投标文件，并以书面形式通知招标人。补充、修改的内容为投标文件的组成部分。</w:t>
      </w:r>
    </w:p>
    <w:p>
      <w:pPr>
        <w:spacing w:line="380" w:lineRule="exact"/>
        <w:ind w:firstLine="210" w:firstLineChars="100"/>
        <w:jc w:val="left"/>
        <w:rPr>
          <w:rFonts w:ascii="宋体" w:hAnsi="宋体"/>
          <w:szCs w:val="21"/>
        </w:rPr>
      </w:pPr>
      <w:r>
        <w:rPr>
          <w:rFonts w:hint="eastAsia" w:ascii="宋体" w:hAnsi="宋体"/>
          <w:szCs w:val="21"/>
        </w:rPr>
        <w:t>28.2  投标人对投标文件的补充、修改，应按本须知第25条、第26条和第27条有关规定密封、标记和提交，并在投标文件密封袋上清楚标明“补充”、“修改”字样。</w:t>
      </w:r>
    </w:p>
    <w:p>
      <w:pPr>
        <w:autoSpaceDE w:val="0"/>
        <w:autoSpaceDN w:val="0"/>
        <w:adjustRightInd w:val="0"/>
        <w:spacing w:line="312" w:lineRule="auto"/>
        <w:ind w:firstLine="420"/>
      </w:pPr>
      <w:r>
        <w:rPr>
          <w:rFonts w:hint="eastAsia" w:ascii="宋体" w:hAnsi="宋体"/>
          <w:szCs w:val="21"/>
        </w:rPr>
        <w:t>28.3  在投标截止时间之后，投标人不得补充、修改投标文件。</w:t>
      </w:r>
    </w:p>
    <w:p>
      <w:pPr>
        <w:pStyle w:val="6"/>
        <w:numPr>
          <w:ilvl w:val="0"/>
          <w:numId w:val="0"/>
        </w:numPr>
        <w:spacing w:line="312" w:lineRule="auto"/>
        <w:jc w:val="center"/>
        <w:rPr>
          <w:rFonts w:ascii="黑体" w:eastAsia="黑体"/>
          <w:sz w:val="28"/>
          <w:szCs w:val="28"/>
        </w:rPr>
      </w:pPr>
      <w:bookmarkStart w:id="71" w:name="_Toc29877"/>
      <w:bookmarkStart w:id="72" w:name="_Toc18478"/>
      <w:r>
        <w:rPr>
          <w:rFonts w:hint="eastAsia" w:ascii="黑体" w:eastAsia="黑体"/>
          <w:sz w:val="28"/>
          <w:szCs w:val="28"/>
        </w:rPr>
        <w:t>（五）开标、评标和定标</w:t>
      </w:r>
      <w:bookmarkEnd w:id="70"/>
      <w:bookmarkEnd w:id="71"/>
      <w:bookmarkEnd w:id="72"/>
    </w:p>
    <w:p>
      <w:pPr>
        <w:spacing w:line="312" w:lineRule="auto"/>
        <w:rPr>
          <w:rFonts w:ascii="宋体"/>
          <w:b/>
          <w:szCs w:val="21"/>
        </w:rPr>
      </w:pPr>
      <w:r>
        <w:rPr>
          <w:rFonts w:hint="eastAsia" w:ascii="宋体"/>
          <w:b/>
          <w:sz w:val="24"/>
        </w:rPr>
        <w:t xml:space="preserve">  </w:t>
      </w:r>
      <w:r>
        <w:rPr>
          <w:rFonts w:hint="eastAsia" w:ascii="宋体"/>
          <w:b/>
          <w:szCs w:val="21"/>
        </w:rPr>
        <w:t xml:space="preserve"> 29. 开标</w:t>
      </w:r>
    </w:p>
    <w:p>
      <w:pPr>
        <w:spacing w:line="312" w:lineRule="auto"/>
        <w:ind w:firstLine="315" w:firstLineChars="150"/>
        <w:jc w:val="left"/>
        <w:rPr>
          <w:rFonts w:ascii="宋体"/>
          <w:szCs w:val="21"/>
        </w:rPr>
      </w:pPr>
      <w:r>
        <w:rPr>
          <w:rFonts w:hint="eastAsia" w:ascii="宋体"/>
          <w:szCs w:val="21"/>
        </w:rPr>
        <w:t>29.1  开标的时间和地点</w:t>
      </w:r>
    </w:p>
    <w:p>
      <w:pPr>
        <w:spacing w:line="312" w:lineRule="auto"/>
        <w:ind w:firstLine="315" w:firstLineChars="150"/>
        <w:jc w:val="left"/>
        <w:rPr>
          <w:rFonts w:ascii="宋体"/>
          <w:szCs w:val="21"/>
        </w:rPr>
      </w:pPr>
      <w:r>
        <w:rPr>
          <w:rFonts w:hint="eastAsia" w:ascii="宋体"/>
          <w:szCs w:val="21"/>
        </w:rPr>
        <w:t>29.1.1招标人按本须知第27条提交投标文件的截止时间和地点公开开标。</w:t>
      </w:r>
    </w:p>
    <w:p>
      <w:pPr>
        <w:spacing w:line="312" w:lineRule="auto"/>
        <w:ind w:firstLine="315" w:firstLineChars="150"/>
        <w:jc w:val="left"/>
        <w:rPr>
          <w:rFonts w:ascii="宋体"/>
          <w:szCs w:val="21"/>
        </w:rPr>
      </w:pPr>
      <w:r>
        <w:rPr>
          <w:rFonts w:hint="eastAsia" w:ascii="宋体"/>
          <w:szCs w:val="21"/>
        </w:rPr>
        <w:t>29.2  参与开标的部门</w:t>
      </w:r>
    </w:p>
    <w:p>
      <w:pPr>
        <w:spacing w:line="312" w:lineRule="auto"/>
        <w:ind w:firstLine="315" w:firstLineChars="150"/>
        <w:jc w:val="left"/>
        <w:rPr>
          <w:rFonts w:ascii="宋体"/>
          <w:spacing w:val="-8"/>
          <w:szCs w:val="21"/>
        </w:rPr>
      </w:pPr>
      <w:r>
        <w:rPr>
          <w:rFonts w:hint="eastAsia" w:ascii="宋体"/>
          <w:szCs w:val="21"/>
        </w:rPr>
        <w:t>29.2.1</w:t>
      </w:r>
      <w:r>
        <w:rPr>
          <w:rFonts w:hint="eastAsia" w:ascii="宋体" w:hAnsi="宋体"/>
          <w:szCs w:val="21"/>
        </w:rPr>
        <w:t>参与开标的部门：经开区纪监工委、经开区财政局、经开区招标办参加。</w:t>
      </w:r>
    </w:p>
    <w:p>
      <w:pPr>
        <w:adjustRightInd w:val="0"/>
        <w:snapToGrid w:val="0"/>
        <w:spacing w:line="312" w:lineRule="auto"/>
        <w:ind w:firstLine="315" w:firstLineChars="150"/>
        <w:rPr>
          <w:rFonts w:ascii="宋体"/>
          <w:szCs w:val="21"/>
        </w:rPr>
      </w:pPr>
      <w:r>
        <w:rPr>
          <w:rFonts w:hint="eastAsia" w:ascii="宋体"/>
          <w:szCs w:val="21"/>
        </w:rPr>
        <w:t>29.3开标程序</w:t>
      </w:r>
    </w:p>
    <w:p>
      <w:pPr>
        <w:spacing w:line="312" w:lineRule="auto"/>
        <w:ind w:right="-155" w:rightChars="-74" w:firstLine="630" w:firstLineChars="300"/>
        <w:jc w:val="left"/>
        <w:rPr>
          <w:rFonts w:ascii="宋体"/>
          <w:szCs w:val="21"/>
        </w:rPr>
      </w:pPr>
      <w:r>
        <w:rPr>
          <w:rFonts w:hint="eastAsia" w:ascii="宋体"/>
          <w:szCs w:val="21"/>
        </w:rPr>
        <w:t>开标会议由招标代理机构</w:t>
      </w:r>
      <w:r>
        <w:rPr>
          <w:rFonts w:hint="eastAsia" w:ascii="宋体"/>
          <w:szCs w:val="21"/>
          <w:u w:val="single"/>
        </w:rPr>
        <w:t xml:space="preserve"> 滁州市城投工程咨询管理有限公司</w:t>
      </w:r>
      <w:r>
        <w:rPr>
          <w:rFonts w:hint="eastAsia" w:ascii="宋体"/>
          <w:szCs w:val="21"/>
        </w:rPr>
        <w:t>主持。</w:t>
      </w:r>
    </w:p>
    <w:p>
      <w:pPr>
        <w:spacing w:line="400" w:lineRule="exact"/>
        <w:ind w:right="-155" w:rightChars="-74" w:firstLine="210" w:firstLineChars="100"/>
        <w:jc w:val="left"/>
        <w:rPr>
          <w:rFonts w:ascii="宋体" w:hAnsi="宋体"/>
          <w:szCs w:val="21"/>
        </w:rPr>
      </w:pPr>
      <w:r>
        <w:rPr>
          <w:rFonts w:hint="eastAsia" w:ascii="宋体" w:hAnsi="宋体"/>
          <w:szCs w:val="21"/>
        </w:rPr>
        <w:t>（1）宣布开标纪律；</w:t>
      </w:r>
    </w:p>
    <w:p>
      <w:pPr>
        <w:spacing w:line="400" w:lineRule="exact"/>
        <w:ind w:right="-155" w:rightChars="-74" w:firstLine="210" w:firstLineChars="100"/>
        <w:jc w:val="left"/>
        <w:rPr>
          <w:rFonts w:ascii="宋体" w:hAnsi="宋体"/>
          <w:szCs w:val="21"/>
        </w:rPr>
      </w:pPr>
      <w:r>
        <w:rPr>
          <w:rFonts w:hint="eastAsia" w:ascii="宋体" w:hAnsi="宋体"/>
          <w:szCs w:val="21"/>
        </w:rPr>
        <w:t>（2）宣布招标（采购）人、代理机构主持人、见证人等有关人员姓名；</w:t>
      </w:r>
    </w:p>
    <w:p>
      <w:pPr>
        <w:spacing w:line="400" w:lineRule="exact"/>
        <w:ind w:right="-155" w:rightChars="-74" w:firstLine="210" w:firstLineChars="100"/>
        <w:jc w:val="left"/>
        <w:rPr>
          <w:rFonts w:ascii="宋体" w:hAnsi="宋体"/>
          <w:szCs w:val="21"/>
        </w:rPr>
      </w:pPr>
      <w:r>
        <w:rPr>
          <w:rFonts w:hint="eastAsia" w:ascii="宋体" w:hAnsi="宋体"/>
          <w:szCs w:val="21"/>
        </w:rPr>
        <w:t>（3）公布在投标截止时间前递交投标文件的投标人名称，并确认投标保证金缴纳情况等；</w:t>
      </w:r>
    </w:p>
    <w:p>
      <w:pPr>
        <w:spacing w:line="400" w:lineRule="exact"/>
        <w:ind w:right="-155" w:rightChars="-74" w:firstLine="210" w:firstLineChars="100"/>
        <w:jc w:val="left"/>
        <w:rPr>
          <w:rFonts w:ascii="宋体" w:hAnsi="宋体"/>
          <w:szCs w:val="21"/>
        </w:rPr>
      </w:pPr>
      <w:r>
        <w:rPr>
          <w:rFonts w:hint="eastAsia" w:ascii="宋体" w:hAnsi="宋体"/>
          <w:szCs w:val="21"/>
        </w:rPr>
        <w:t>（4）检查投标文件密封情况；</w:t>
      </w:r>
    </w:p>
    <w:p>
      <w:pPr>
        <w:spacing w:line="400" w:lineRule="exact"/>
        <w:ind w:right="-155" w:rightChars="-74" w:firstLine="210" w:firstLineChars="100"/>
        <w:jc w:val="left"/>
        <w:rPr>
          <w:rFonts w:ascii="宋体" w:hAnsi="宋体"/>
          <w:szCs w:val="21"/>
        </w:rPr>
      </w:pPr>
      <w:r>
        <w:rPr>
          <w:rFonts w:hint="eastAsia" w:ascii="宋体" w:hAnsi="宋体"/>
          <w:szCs w:val="21"/>
        </w:rPr>
        <w:t>（5）拆封标书交由评标委员会评审合格后，公布投标人投标报价、服务期限及其他内容，并记录在案；</w:t>
      </w:r>
    </w:p>
    <w:p>
      <w:pPr>
        <w:spacing w:line="312" w:lineRule="auto"/>
        <w:ind w:right="-155" w:rightChars="-74" w:firstLine="420" w:firstLineChars="200"/>
        <w:jc w:val="left"/>
        <w:rPr>
          <w:rFonts w:ascii="宋体"/>
          <w:szCs w:val="21"/>
        </w:rPr>
      </w:pPr>
      <w:r>
        <w:rPr>
          <w:rFonts w:hint="eastAsia" w:ascii="宋体" w:hAnsi="宋体"/>
          <w:szCs w:val="21"/>
        </w:rPr>
        <w:t>（6）开标结束。</w:t>
      </w:r>
    </w:p>
    <w:p>
      <w:pPr>
        <w:spacing w:line="312" w:lineRule="auto"/>
        <w:ind w:right="-155" w:rightChars="-74" w:firstLine="210" w:firstLineChars="100"/>
        <w:jc w:val="left"/>
        <w:rPr>
          <w:rFonts w:ascii="宋体"/>
          <w:szCs w:val="21"/>
        </w:rPr>
      </w:pPr>
      <w:r>
        <w:rPr>
          <w:rFonts w:hint="eastAsia" w:ascii="宋体"/>
          <w:szCs w:val="21"/>
        </w:rPr>
        <w:t xml:space="preserve"> 29.4开标异议</w:t>
      </w:r>
    </w:p>
    <w:p>
      <w:pPr>
        <w:wordWrap w:val="0"/>
        <w:spacing w:line="312" w:lineRule="auto"/>
        <w:ind w:firstLine="359" w:firstLineChars="171"/>
        <w:rPr>
          <w:rFonts w:ascii="宋体"/>
          <w:szCs w:val="21"/>
        </w:rPr>
      </w:pPr>
      <w:r>
        <w:rPr>
          <w:rFonts w:hint="eastAsia"/>
        </w:rPr>
        <w:t>投标人对开标有异议的，应当在开标现场提出，招标人当场作出答复，并制作记录。</w:t>
      </w:r>
    </w:p>
    <w:p>
      <w:pPr>
        <w:spacing w:line="312" w:lineRule="auto"/>
        <w:ind w:firstLine="421"/>
        <w:jc w:val="left"/>
        <w:rPr>
          <w:rFonts w:ascii="宋体"/>
          <w:b/>
          <w:szCs w:val="21"/>
        </w:rPr>
      </w:pPr>
      <w:r>
        <w:rPr>
          <w:rFonts w:hint="eastAsia" w:ascii="宋体"/>
          <w:b/>
          <w:szCs w:val="21"/>
        </w:rPr>
        <w:t>30.评标委员会</w:t>
      </w:r>
    </w:p>
    <w:p>
      <w:pPr>
        <w:spacing w:line="400" w:lineRule="exact"/>
        <w:ind w:firstLine="210" w:firstLineChars="100"/>
        <w:jc w:val="left"/>
        <w:rPr>
          <w:rFonts w:ascii="宋体" w:hAnsi="宋体"/>
          <w:szCs w:val="21"/>
        </w:rPr>
      </w:pPr>
      <w:r>
        <w:rPr>
          <w:rFonts w:hint="eastAsia" w:ascii="宋体" w:hAnsi="宋体"/>
          <w:szCs w:val="21"/>
        </w:rPr>
        <w:t>30.1  评标委员会的组成</w:t>
      </w:r>
    </w:p>
    <w:p>
      <w:pPr>
        <w:spacing w:line="400" w:lineRule="exact"/>
        <w:ind w:firstLine="210" w:firstLineChars="100"/>
        <w:jc w:val="left"/>
        <w:rPr>
          <w:rFonts w:ascii="宋体" w:hAnsi="宋体"/>
          <w:szCs w:val="21"/>
        </w:rPr>
      </w:pPr>
      <w:r>
        <w:rPr>
          <w:rFonts w:hint="eastAsia" w:ascii="宋体" w:hAnsi="宋体"/>
          <w:szCs w:val="21"/>
        </w:rPr>
        <w:t>30.1.1评标由招标人依法组建的评标委员会负责。</w:t>
      </w:r>
    </w:p>
    <w:p>
      <w:pPr>
        <w:spacing w:line="400" w:lineRule="exact"/>
        <w:ind w:firstLine="210" w:firstLineChars="100"/>
        <w:rPr>
          <w:rFonts w:ascii="宋体" w:hAnsi="宋体"/>
          <w:szCs w:val="21"/>
        </w:rPr>
      </w:pPr>
      <w:r>
        <w:rPr>
          <w:rFonts w:hint="eastAsia" w:ascii="宋体" w:hAnsi="宋体"/>
          <w:szCs w:val="21"/>
        </w:rPr>
        <w:t>30.1.2评标委员会负责人依法推荐或确定。</w:t>
      </w:r>
    </w:p>
    <w:p>
      <w:pPr>
        <w:spacing w:line="400" w:lineRule="exact"/>
        <w:ind w:firstLine="210" w:firstLineChars="100"/>
        <w:jc w:val="left"/>
        <w:rPr>
          <w:rFonts w:ascii="宋体" w:hAnsi="宋体"/>
          <w:szCs w:val="21"/>
        </w:rPr>
      </w:pPr>
      <w:r>
        <w:rPr>
          <w:rFonts w:hint="eastAsia" w:ascii="宋体" w:hAnsi="宋体"/>
          <w:szCs w:val="21"/>
        </w:rPr>
        <w:t>30.2  评标委员会成员名单在中标结果确定前应当保密。</w:t>
      </w:r>
    </w:p>
    <w:p>
      <w:pPr>
        <w:spacing w:line="400" w:lineRule="exact"/>
        <w:ind w:firstLine="210" w:firstLineChars="100"/>
        <w:jc w:val="left"/>
        <w:rPr>
          <w:rFonts w:ascii="宋体" w:hAnsi="宋体"/>
          <w:szCs w:val="21"/>
        </w:rPr>
      </w:pPr>
      <w:r>
        <w:rPr>
          <w:rFonts w:hint="eastAsia" w:ascii="宋体" w:hAnsi="宋体"/>
          <w:szCs w:val="21"/>
        </w:rPr>
        <w:t>30.3  评标委员会成员有下述情形的，应当主动提出回避：</w:t>
      </w:r>
    </w:p>
    <w:p>
      <w:pPr>
        <w:spacing w:line="400" w:lineRule="exact"/>
        <w:ind w:firstLine="315" w:firstLineChars="150"/>
        <w:rPr>
          <w:rFonts w:ascii="宋体" w:hAnsi="宋体"/>
          <w:szCs w:val="21"/>
        </w:rPr>
      </w:pPr>
      <w:r>
        <w:rPr>
          <w:rFonts w:hint="eastAsia" w:ascii="宋体" w:hAnsi="宋体"/>
          <w:szCs w:val="21"/>
        </w:rPr>
        <w:t>（1）投标人或投标人主要负责人的近亲属；</w:t>
      </w:r>
    </w:p>
    <w:p>
      <w:pPr>
        <w:spacing w:line="400" w:lineRule="exact"/>
        <w:ind w:firstLine="359" w:firstLineChars="171"/>
        <w:rPr>
          <w:rFonts w:ascii="宋体" w:hAnsi="宋体"/>
          <w:szCs w:val="21"/>
        </w:rPr>
      </w:pPr>
      <w:r>
        <w:rPr>
          <w:rFonts w:hint="eastAsia" w:ascii="宋体" w:hAnsi="宋体"/>
          <w:szCs w:val="21"/>
        </w:rPr>
        <w:t>（2）项目主管部门或者行政监督部门的人员；</w:t>
      </w:r>
    </w:p>
    <w:p>
      <w:pPr>
        <w:spacing w:line="400" w:lineRule="exact"/>
        <w:ind w:firstLine="359" w:firstLineChars="171"/>
        <w:rPr>
          <w:rFonts w:ascii="宋体" w:hAnsi="宋体"/>
          <w:szCs w:val="21"/>
        </w:rPr>
      </w:pPr>
      <w:r>
        <w:rPr>
          <w:rFonts w:hint="eastAsia" w:ascii="宋体" w:hAnsi="宋体"/>
          <w:szCs w:val="21"/>
        </w:rPr>
        <w:t>（3）与投标人有经济利益关系；</w:t>
      </w:r>
    </w:p>
    <w:p>
      <w:pPr>
        <w:spacing w:line="400" w:lineRule="exact"/>
        <w:ind w:firstLine="359" w:firstLineChars="171"/>
        <w:rPr>
          <w:rFonts w:ascii="宋体" w:hAnsi="宋体"/>
          <w:szCs w:val="21"/>
        </w:rPr>
      </w:pPr>
      <w:r>
        <w:rPr>
          <w:rFonts w:hint="eastAsia" w:ascii="宋体" w:hAnsi="宋体"/>
          <w:szCs w:val="21"/>
        </w:rPr>
        <w:t>（4）曾因在招标、评标以及其他与招标投标有关活动中从事违法行为而受过行政处罚或刑事处罚的；</w:t>
      </w:r>
    </w:p>
    <w:p>
      <w:pPr>
        <w:spacing w:line="400" w:lineRule="exact"/>
        <w:ind w:firstLine="359" w:firstLineChars="171"/>
        <w:rPr>
          <w:rFonts w:ascii="宋体" w:hAnsi="宋体"/>
          <w:szCs w:val="21"/>
        </w:rPr>
      </w:pPr>
      <w:r>
        <w:rPr>
          <w:rFonts w:hint="eastAsia" w:ascii="宋体" w:hAnsi="宋体"/>
          <w:szCs w:val="21"/>
        </w:rPr>
        <w:t>（5）与投标人有其他利害关系。</w:t>
      </w:r>
    </w:p>
    <w:p>
      <w:pPr>
        <w:spacing w:line="360" w:lineRule="exact"/>
        <w:rPr>
          <w:rFonts w:ascii="宋体" w:hAnsi="宋体"/>
          <w:szCs w:val="21"/>
        </w:rPr>
      </w:pPr>
      <w:r>
        <w:rPr>
          <w:rFonts w:hint="eastAsia" w:ascii="宋体" w:hAnsi="宋体"/>
          <w:szCs w:val="21"/>
        </w:rPr>
        <w:t xml:space="preserve">  30.4  评标委员会应当向招标人提出书面评标报告，并抄送有关行政监督部门。评标报告应当如实记载以下内容：</w:t>
      </w:r>
    </w:p>
    <w:p>
      <w:pPr>
        <w:spacing w:line="360" w:lineRule="exact"/>
        <w:ind w:firstLine="420" w:firstLineChars="200"/>
        <w:rPr>
          <w:rFonts w:ascii="宋体" w:hAnsi="宋体"/>
          <w:szCs w:val="21"/>
        </w:rPr>
      </w:pPr>
      <w:r>
        <w:rPr>
          <w:rFonts w:hint="eastAsia" w:ascii="宋体" w:hAnsi="宋体"/>
          <w:szCs w:val="21"/>
        </w:rPr>
        <w:t>（1）基本情况和数据表；</w:t>
      </w:r>
    </w:p>
    <w:p>
      <w:pPr>
        <w:spacing w:line="360" w:lineRule="exact"/>
        <w:ind w:firstLine="420" w:firstLineChars="200"/>
        <w:rPr>
          <w:rFonts w:ascii="宋体" w:hAnsi="宋体"/>
          <w:szCs w:val="21"/>
        </w:rPr>
      </w:pPr>
      <w:r>
        <w:rPr>
          <w:rFonts w:hint="eastAsia" w:ascii="宋体" w:hAnsi="宋体"/>
          <w:szCs w:val="21"/>
        </w:rPr>
        <w:t>（2）评标委员会成员名单；</w:t>
      </w:r>
    </w:p>
    <w:p>
      <w:pPr>
        <w:spacing w:line="360" w:lineRule="exact"/>
        <w:ind w:firstLine="420" w:firstLineChars="200"/>
        <w:rPr>
          <w:rFonts w:ascii="宋体" w:hAnsi="宋体"/>
          <w:szCs w:val="21"/>
        </w:rPr>
      </w:pPr>
      <w:r>
        <w:rPr>
          <w:rFonts w:hint="eastAsia" w:ascii="宋体" w:hAnsi="宋体"/>
          <w:szCs w:val="21"/>
        </w:rPr>
        <w:t>（3）开标记录；</w:t>
      </w:r>
    </w:p>
    <w:p>
      <w:pPr>
        <w:spacing w:line="360" w:lineRule="exact"/>
        <w:ind w:firstLine="420" w:firstLineChars="200"/>
        <w:rPr>
          <w:rFonts w:ascii="宋体" w:hAnsi="宋体"/>
          <w:szCs w:val="21"/>
        </w:rPr>
      </w:pPr>
      <w:r>
        <w:rPr>
          <w:rFonts w:hint="eastAsia" w:ascii="宋体" w:hAnsi="宋体"/>
          <w:szCs w:val="21"/>
        </w:rPr>
        <w:t>（4）符合要求的投标人一览表；</w:t>
      </w:r>
    </w:p>
    <w:p>
      <w:pPr>
        <w:spacing w:line="360" w:lineRule="exact"/>
        <w:ind w:firstLine="420" w:firstLineChars="200"/>
        <w:rPr>
          <w:rFonts w:ascii="宋体" w:hAnsi="宋体"/>
          <w:szCs w:val="21"/>
        </w:rPr>
      </w:pPr>
      <w:r>
        <w:rPr>
          <w:rFonts w:hint="eastAsia" w:ascii="宋体" w:hAnsi="宋体"/>
          <w:szCs w:val="21"/>
        </w:rPr>
        <w:t>（5）废标情况说明；</w:t>
      </w:r>
    </w:p>
    <w:p>
      <w:pPr>
        <w:spacing w:line="360" w:lineRule="exact"/>
        <w:ind w:firstLine="420" w:firstLineChars="200"/>
        <w:rPr>
          <w:rFonts w:ascii="宋体" w:hAnsi="宋体"/>
          <w:szCs w:val="21"/>
        </w:rPr>
      </w:pPr>
      <w:r>
        <w:rPr>
          <w:rFonts w:hint="eastAsia" w:ascii="宋体" w:hAnsi="宋体"/>
          <w:szCs w:val="21"/>
        </w:rPr>
        <w:t>（6）评标标准、评标方法或者评标因素一览表；</w:t>
      </w:r>
    </w:p>
    <w:p>
      <w:pPr>
        <w:spacing w:line="360" w:lineRule="exact"/>
        <w:ind w:firstLine="420" w:firstLineChars="200"/>
        <w:rPr>
          <w:rFonts w:ascii="宋体" w:hAnsi="宋体"/>
          <w:szCs w:val="21"/>
        </w:rPr>
      </w:pPr>
      <w:r>
        <w:rPr>
          <w:rFonts w:hint="eastAsia" w:ascii="宋体" w:hAnsi="宋体"/>
          <w:szCs w:val="21"/>
        </w:rPr>
        <w:t>（7）经评审的价格或者评分比较一览表；</w:t>
      </w:r>
    </w:p>
    <w:p>
      <w:pPr>
        <w:spacing w:line="360" w:lineRule="exact"/>
        <w:ind w:firstLine="420" w:firstLineChars="200"/>
        <w:rPr>
          <w:rFonts w:ascii="宋体" w:hAnsi="宋体"/>
          <w:szCs w:val="21"/>
        </w:rPr>
      </w:pPr>
      <w:r>
        <w:rPr>
          <w:rFonts w:hint="eastAsia" w:ascii="宋体" w:hAnsi="宋体"/>
          <w:szCs w:val="21"/>
        </w:rPr>
        <w:t>（8）投标人串标、围标等违规行为的确认报告；</w:t>
      </w:r>
    </w:p>
    <w:p>
      <w:pPr>
        <w:spacing w:line="360" w:lineRule="exact"/>
        <w:ind w:firstLine="420" w:firstLineChars="200"/>
        <w:rPr>
          <w:rFonts w:ascii="宋体" w:hAnsi="宋体"/>
          <w:szCs w:val="21"/>
        </w:rPr>
      </w:pPr>
      <w:r>
        <w:rPr>
          <w:rFonts w:hint="eastAsia" w:ascii="宋体" w:hAnsi="宋体"/>
          <w:szCs w:val="21"/>
        </w:rPr>
        <w:t>（9）经评审的投标人排序；</w:t>
      </w:r>
    </w:p>
    <w:p>
      <w:pPr>
        <w:spacing w:line="360" w:lineRule="exact"/>
        <w:ind w:firstLine="420" w:firstLineChars="200"/>
        <w:rPr>
          <w:rFonts w:ascii="宋体" w:hAnsi="宋体"/>
          <w:szCs w:val="21"/>
        </w:rPr>
      </w:pPr>
      <w:r>
        <w:rPr>
          <w:rFonts w:hint="eastAsia" w:ascii="宋体" w:hAnsi="宋体"/>
          <w:szCs w:val="21"/>
        </w:rPr>
        <w:t>（10）推荐的中标人名单；</w:t>
      </w:r>
    </w:p>
    <w:p>
      <w:pPr>
        <w:spacing w:line="360" w:lineRule="exact"/>
        <w:ind w:firstLine="420" w:firstLineChars="200"/>
        <w:rPr>
          <w:rFonts w:ascii="宋体" w:hAnsi="宋体"/>
          <w:szCs w:val="21"/>
        </w:rPr>
      </w:pPr>
      <w:r>
        <w:rPr>
          <w:rFonts w:hint="eastAsia" w:ascii="宋体" w:hAnsi="宋体"/>
          <w:szCs w:val="21"/>
        </w:rPr>
        <w:t>（11）澄清、说明、补正事项纪要。</w:t>
      </w:r>
    </w:p>
    <w:p>
      <w:pPr>
        <w:tabs>
          <w:tab w:val="left" w:pos="720"/>
        </w:tabs>
        <w:spacing w:line="400" w:lineRule="exact"/>
        <w:ind w:firstLine="210" w:firstLineChars="100"/>
        <w:jc w:val="left"/>
        <w:rPr>
          <w:rFonts w:ascii="宋体" w:hAnsi="宋体"/>
          <w:szCs w:val="21"/>
        </w:rPr>
      </w:pPr>
      <w:r>
        <w:rPr>
          <w:rFonts w:hint="eastAsia" w:ascii="宋体" w:hAnsi="宋体"/>
          <w:szCs w:val="21"/>
        </w:rPr>
        <w:t>30.5评标委员会应自觉接受有关监督管理部门的现场监督，评标委员会成员与评标活动有关的工作人员和监督人员不得向他人透露对投标文件的评审和比较、中标人的推荐以及与评标有关的其他情况。投标文件及与评标有关的资料应当保密。</w:t>
      </w:r>
    </w:p>
    <w:p>
      <w:pPr>
        <w:spacing w:line="312" w:lineRule="auto"/>
        <w:ind w:firstLine="207" w:firstLineChars="98"/>
        <w:jc w:val="left"/>
        <w:rPr>
          <w:rFonts w:ascii="宋体"/>
          <w:b/>
          <w:szCs w:val="21"/>
        </w:rPr>
      </w:pPr>
      <w:r>
        <w:rPr>
          <w:rFonts w:hint="eastAsia" w:ascii="宋体"/>
          <w:b/>
          <w:szCs w:val="21"/>
        </w:rPr>
        <w:t>31. 评标</w:t>
      </w:r>
    </w:p>
    <w:p>
      <w:pPr>
        <w:spacing w:line="400" w:lineRule="exact"/>
        <w:ind w:firstLine="210" w:firstLineChars="100"/>
        <w:rPr>
          <w:rFonts w:ascii="宋体" w:hAnsi="宋体"/>
          <w:szCs w:val="21"/>
        </w:rPr>
      </w:pPr>
      <w:r>
        <w:rPr>
          <w:rFonts w:hint="eastAsia" w:ascii="宋体" w:hAnsi="宋体"/>
          <w:szCs w:val="21"/>
        </w:rPr>
        <w:t>31.1</w:t>
      </w:r>
      <w:r>
        <w:rPr>
          <w:rFonts w:ascii="宋体" w:hAnsi="宋体"/>
          <w:szCs w:val="21"/>
        </w:rPr>
        <w:t xml:space="preserve">  </w:t>
      </w:r>
      <w:r>
        <w:rPr>
          <w:rFonts w:hint="eastAsia" w:ascii="宋体" w:hAnsi="宋体"/>
          <w:szCs w:val="21"/>
        </w:rPr>
        <w:t>评标准备工作</w:t>
      </w:r>
    </w:p>
    <w:p>
      <w:pPr>
        <w:spacing w:line="400" w:lineRule="exact"/>
        <w:ind w:firstLine="210" w:firstLineChars="100"/>
        <w:rPr>
          <w:rFonts w:ascii="宋体" w:hAnsi="宋体"/>
          <w:szCs w:val="21"/>
        </w:rPr>
      </w:pPr>
      <w:r>
        <w:rPr>
          <w:rFonts w:hint="eastAsia" w:ascii="宋体" w:hAnsi="宋体"/>
          <w:szCs w:val="21"/>
        </w:rPr>
        <w:t>31.1.1阅读由招标人或招标代理单位编写的招标项目情况的说明材料；</w:t>
      </w:r>
    </w:p>
    <w:p>
      <w:pPr>
        <w:spacing w:line="400" w:lineRule="exact"/>
        <w:ind w:firstLine="210" w:firstLineChars="100"/>
        <w:rPr>
          <w:rFonts w:ascii="宋体" w:hAnsi="宋体"/>
          <w:szCs w:val="21"/>
        </w:rPr>
      </w:pPr>
      <w:r>
        <w:rPr>
          <w:rFonts w:hint="eastAsia" w:ascii="宋体" w:hAnsi="宋体"/>
          <w:szCs w:val="21"/>
        </w:rPr>
        <w:t>31.1.2阅读、研究招标文件和相关评标资料，获取评标所需要的重要信息和数据；</w:t>
      </w:r>
    </w:p>
    <w:p>
      <w:pPr>
        <w:spacing w:line="400" w:lineRule="exact"/>
        <w:ind w:firstLine="210" w:firstLineChars="100"/>
        <w:rPr>
          <w:rFonts w:ascii="宋体" w:hAnsi="宋体"/>
          <w:szCs w:val="21"/>
        </w:rPr>
      </w:pPr>
      <w:r>
        <w:rPr>
          <w:rFonts w:hint="eastAsia" w:ascii="宋体" w:hAnsi="宋体"/>
          <w:szCs w:val="21"/>
        </w:rPr>
        <w:t>31.1.3熟悉招标文件规定的评标方法及在评标过程中需要考虑的相关因素；</w:t>
      </w:r>
    </w:p>
    <w:p>
      <w:pPr>
        <w:spacing w:line="400" w:lineRule="exact"/>
        <w:ind w:firstLine="210" w:firstLineChars="100"/>
        <w:rPr>
          <w:rFonts w:ascii="宋体" w:hAnsi="宋体"/>
          <w:szCs w:val="21"/>
        </w:rPr>
      </w:pPr>
      <w:r>
        <w:rPr>
          <w:rFonts w:hint="eastAsia" w:ascii="宋体" w:hAnsi="宋体"/>
          <w:szCs w:val="21"/>
        </w:rPr>
        <w:t>31.1.4核对评标工作用表。</w:t>
      </w:r>
    </w:p>
    <w:p>
      <w:pPr>
        <w:spacing w:line="400" w:lineRule="exact"/>
        <w:ind w:firstLine="210" w:firstLineChars="100"/>
        <w:rPr>
          <w:rFonts w:ascii="宋体" w:hAnsi="宋体"/>
          <w:szCs w:val="21"/>
        </w:rPr>
      </w:pPr>
      <w:r>
        <w:rPr>
          <w:rFonts w:hint="eastAsia" w:ascii="宋体" w:hAnsi="宋体"/>
          <w:szCs w:val="21"/>
        </w:rPr>
        <w:t>31.2  评标办法</w:t>
      </w:r>
    </w:p>
    <w:p>
      <w:pPr>
        <w:spacing w:line="400" w:lineRule="exact"/>
        <w:ind w:firstLine="210" w:firstLineChars="100"/>
        <w:rPr>
          <w:rFonts w:ascii="宋体" w:hAnsi="宋体"/>
          <w:szCs w:val="21"/>
        </w:rPr>
      </w:pPr>
      <w:r>
        <w:rPr>
          <w:rFonts w:hint="eastAsia" w:ascii="宋体" w:hAnsi="宋体"/>
          <w:szCs w:val="21"/>
        </w:rPr>
        <w:t>31.2.1评标委员会按照第三章“评标办法”规定的方法、评审因素、标准和程序对投标文件进行评审。第三章“评标办法”没有规定的方法、评审因素和标准，不作为评标依据。</w:t>
      </w:r>
    </w:p>
    <w:p>
      <w:pPr>
        <w:spacing w:line="400" w:lineRule="exact"/>
        <w:ind w:firstLine="210" w:firstLineChars="100"/>
        <w:rPr>
          <w:rFonts w:ascii="宋体" w:hAnsi="宋体"/>
          <w:szCs w:val="21"/>
        </w:rPr>
      </w:pPr>
      <w:r>
        <w:rPr>
          <w:rFonts w:hint="eastAsia" w:ascii="宋体" w:hAnsi="宋体"/>
          <w:szCs w:val="21"/>
        </w:rPr>
        <w:t>31.3评标原则：</w:t>
      </w:r>
    </w:p>
    <w:p>
      <w:pPr>
        <w:spacing w:line="400" w:lineRule="exact"/>
        <w:jc w:val="left"/>
        <w:rPr>
          <w:rFonts w:ascii="宋体" w:hAnsi="宋体"/>
          <w:szCs w:val="21"/>
        </w:rPr>
      </w:pPr>
      <w:r>
        <w:rPr>
          <w:rFonts w:hint="eastAsia" w:ascii="宋体" w:hAnsi="宋体"/>
          <w:szCs w:val="21"/>
        </w:rPr>
        <w:t xml:space="preserve">  31.3.1遵循公平、公正、科学和择优的原则。</w:t>
      </w:r>
    </w:p>
    <w:p>
      <w:pPr>
        <w:spacing w:line="400" w:lineRule="exact"/>
        <w:ind w:firstLine="210" w:firstLineChars="100"/>
        <w:rPr>
          <w:rFonts w:ascii="宋体" w:hAnsi="宋体"/>
          <w:szCs w:val="21"/>
        </w:rPr>
      </w:pPr>
      <w:r>
        <w:rPr>
          <w:rFonts w:hint="eastAsia" w:ascii="宋体" w:hAnsi="宋体"/>
          <w:szCs w:val="21"/>
        </w:rPr>
        <w:t>31.4 评标报告的签署</w:t>
      </w:r>
    </w:p>
    <w:p>
      <w:pPr>
        <w:spacing w:line="400" w:lineRule="exact"/>
        <w:ind w:firstLine="210" w:firstLineChars="100"/>
        <w:jc w:val="left"/>
        <w:rPr>
          <w:rFonts w:ascii="宋体" w:hAnsi="宋体"/>
          <w:szCs w:val="21"/>
        </w:rPr>
      </w:pPr>
      <w:r>
        <w:rPr>
          <w:rFonts w:hint="eastAsia" w:ascii="宋体" w:hAnsi="宋体"/>
          <w:szCs w:val="21"/>
        </w:rPr>
        <w:t>31.4.1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400" w:lineRule="exact"/>
        <w:ind w:firstLine="205" w:firstLineChars="98"/>
        <w:jc w:val="left"/>
        <w:rPr>
          <w:rFonts w:ascii="宋体" w:hAnsi="宋体"/>
          <w:szCs w:val="21"/>
        </w:rPr>
      </w:pPr>
      <w:r>
        <w:rPr>
          <w:rFonts w:hint="eastAsia" w:ascii="宋体" w:hAnsi="宋体"/>
          <w:szCs w:val="21"/>
        </w:rPr>
        <w:t>31.5 投标文件的澄清</w:t>
      </w:r>
    </w:p>
    <w:p>
      <w:pPr>
        <w:spacing w:line="400" w:lineRule="exact"/>
        <w:ind w:firstLine="210" w:firstLineChars="100"/>
        <w:jc w:val="left"/>
        <w:rPr>
          <w:rFonts w:ascii="宋体" w:hAnsi="宋体"/>
          <w:szCs w:val="21"/>
        </w:rPr>
      </w:pPr>
      <w:r>
        <w:rPr>
          <w:rFonts w:hint="eastAsia" w:ascii="宋体" w:hAnsi="宋体"/>
          <w:szCs w:val="21"/>
        </w:rPr>
        <w:t>31.5.1 在评标过程中，评标委员会认为需要，在监管部门的监督下，可要求投标人对投标文件中的有关问题进行澄清或提供补充说明及有关资料，投标人应做出书面答复。</w:t>
      </w:r>
    </w:p>
    <w:p>
      <w:pPr>
        <w:spacing w:line="400" w:lineRule="exact"/>
        <w:ind w:firstLine="210" w:firstLineChars="100"/>
        <w:jc w:val="left"/>
        <w:rPr>
          <w:rFonts w:ascii="宋体" w:hAnsi="宋体"/>
          <w:szCs w:val="21"/>
        </w:rPr>
      </w:pPr>
      <w:r>
        <w:rPr>
          <w:rFonts w:hint="eastAsia" w:ascii="宋体" w:hAnsi="宋体"/>
          <w:szCs w:val="21"/>
        </w:rPr>
        <w:t>31.5.2 书面答复须经投标人法定代表人或其委托代理人签字或盖章，签字或盖章的书面答复将被视为投标文件的组成部分。</w:t>
      </w:r>
    </w:p>
    <w:p>
      <w:pPr>
        <w:spacing w:line="400" w:lineRule="exact"/>
        <w:ind w:firstLine="210" w:firstLineChars="100"/>
        <w:rPr>
          <w:rFonts w:ascii="宋体" w:hAnsi="宋体"/>
          <w:szCs w:val="21"/>
        </w:rPr>
      </w:pPr>
      <w:r>
        <w:rPr>
          <w:rFonts w:hint="eastAsia" w:ascii="宋体" w:hAnsi="宋体"/>
          <w:szCs w:val="21"/>
        </w:rPr>
        <w:t>31.6评审意见分歧的处理办法:</w:t>
      </w:r>
    </w:p>
    <w:p>
      <w:pPr>
        <w:spacing w:line="400" w:lineRule="exact"/>
        <w:ind w:firstLine="420" w:firstLineChars="200"/>
        <w:rPr>
          <w:rFonts w:ascii="宋体" w:hAnsi="宋体"/>
          <w:szCs w:val="21"/>
        </w:rPr>
      </w:pPr>
      <w:r>
        <w:rPr>
          <w:rFonts w:hint="eastAsia" w:ascii="宋体" w:hAnsi="宋体"/>
          <w:szCs w:val="21"/>
        </w:rPr>
        <w:t>（1）评标委员会应当对投标人提供的报告、证明材料及详细说明认真研究。对存在意见分歧的，可采用投票方式表决决定（按多数评委意见为准）；</w:t>
      </w:r>
    </w:p>
    <w:p>
      <w:pPr>
        <w:spacing w:line="400" w:lineRule="exact"/>
        <w:ind w:firstLine="420" w:firstLineChars="200"/>
        <w:rPr>
          <w:rFonts w:ascii="宋体" w:hAnsi="宋体"/>
          <w:szCs w:val="21"/>
        </w:rPr>
      </w:pPr>
      <w:r>
        <w:rPr>
          <w:rFonts w:hint="eastAsia" w:ascii="宋体" w:hAnsi="宋体"/>
          <w:szCs w:val="21"/>
        </w:rPr>
        <w:t>（2）</w:t>
      </w:r>
      <w:r>
        <w:rPr>
          <w:rFonts w:ascii="宋体" w:hAnsi="宋体"/>
          <w:szCs w:val="21"/>
        </w:rPr>
        <w:t>招标投标当事人对评标结果提出异议或者投诉，</w:t>
      </w:r>
      <w:r>
        <w:rPr>
          <w:rFonts w:hint="eastAsia" w:ascii="宋体" w:hAnsi="宋体"/>
          <w:szCs w:val="21"/>
        </w:rPr>
        <w:t>监管部门</w:t>
      </w:r>
      <w:r>
        <w:rPr>
          <w:rFonts w:ascii="宋体" w:hAnsi="宋体"/>
          <w:szCs w:val="21"/>
        </w:rPr>
        <w:t>认为需要重新进行评标的，评标委员会成员应当按照</w:t>
      </w:r>
      <w:r>
        <w:rPr>
          <w:rFonts w:hint="eastAsia" w:ascii="宋体" w:hAnsi="宋体"/>
          <w:szCs w:val="21"/>
        </w:rPr>
        <w:t>监管部门</w:t>
      </w:r>
      <w:r>
        <w:rPr>
          <w:rFonts w:ascii="宋体" w:hAnsi="宋体"/>
          <w:szCs w:val="21"/>
        </w:rPr>
        <w:t>要求重新评标。</w:t>
      </w:r>
    </w:p>
    <w:p>
      <w:pPr>
        <w:spacing w:line="400" w:lineRule="exact"/>
        <w:ind w:firstLine="210" w:firstLineChars="100"/>
        <w:rPr>
          <w:rFonts w:ascii="宋体" w:hAnsi="宋体"/>
          <w:szCs w:val="21"/>
        </w:rPr>
      </w:pPr>
      <w:r>
        <w:rPr>
          <w:rFonts w:hint="eastAsia" w:ascii="宋体" w:hAnsi="宋体"/>
          <w:szCs w:val="21"/>
        </w:rPr>
        <w:t>31.7评标过程的保密</w:t>
      </w:r>
    </w:p>
    <w:p>
      <w:pPr>
        <w:spacing w:line="400" w:lineRule="exact"/>
        <w:ind w:firstLine="210" w:firstLineChars="100"/>
        <w:jc w:val="left"/>
        <w:rPr>
          <w:rFonts w:ascii="宋体" w:hAnsi="宋体"/>
          <w:szCs w:val="21"/>
        </w:rPr>
      </w:pPr>
      <w:r>
        <w:rPr>
          <w:rFonts w:hint="eastAsia" w:ascii="宋体" w:hAnsi="宋体"/>
          <w:szCs w:val="21"/>
        </w:rPr>
        <w:t>31.7.1  开标后，直至授予中标人合同为止，凡属于对投标文件的审查、澄清、评价和比较有关的资料以及中标人的推荐情况及与评标有关的其他任何情况均须严格保密。</w:t>
      </w:r>
    </w:p>
    <w:p>
      <w:pPr>
        <w:spacing w:line="440" w:lineRule="exact"/>
        <w:ind w:firstLine="211" w:firstLineChars="100"/>
        <w:jc w:val="left"/>
        <w:rPr>
          <w:rFonts w:ascii="宋体"/>
          <w:b/>
          <w:bCs/>
          <w:szCs w:val="21"/>
        </w:rPr>
      </w:pPr>
      <w:r>
        <w:rPr>
          <w:rFonts w:hint="eastAsia" w:ascii="宋体"/>
          <w:b/>
          <w:bCs/>
          <w:szCs w:val="21"/>
        </w:rPr>
        <w:t>31.8评标结果公告</w:t>
      </w:r>
    </w:p>
    <w:p>
      <w:pPr>
        <w:snapToGrid w:val="0"/>
        <w:spacing w:line="360" w:lineRule="exact"/>
        <w:rPr>
          <w:rFonts w:ascii="宋体" w:hAnsi="宋体"/>
          <w:szCs w:val="21"/>
        </w:rPr>
      </w:pPr>
      <w:r>
        <w:rPr>
          <w:rFonts w:hint="eastAsia" w:ascii="宋体"/>
          <w:b/>
          <w:bCs/>
          <w:szCs w:val="21"/>
        </w:rPr>
        <w:t xml:space="preserve">  </w:t>
      </w:r>
      <w:r>
        <w:rPr>
          <w:rFonts w:hint="eastAsia" w:ascii="宋体"/>
          <w:szCs w:val="21"/>
        </w:rPr>
        <w:t xml:space="preserve">  招标人应将所有中标人的情况在国家级滁州经济技术开发区网网站上予以公告，公告期为1个工作日</w:t>
      </w:r>
      <w:r>
        <w:rPr>
          <w:rFonts w:hint="eastAsia" w:ascii="宋体"/>
          <w:b/>
          <w:bCs/>
          <w:szCs w:val="21"/>
        </w:rPr>
        <w:t>。</w:t>
      </w:r>
    </w:p>
    <w:p>
      <w:pPr>
        <w:spacing w:line="312" w:lineRule="auto"/>
        <w:ind w:firstLine="207" w:firstLineChars="98"/>
        <w:jc w:val="left"/>
        <w:rPr>
          <w:rFonts w:ascii="宋体"/>
          <w:b/>
          <w:szCs w:val="21"/>
        </w:rPr>
      </w:pPr>
      <w:r>
        <w:rPr>
          <w:rFonts w:hint="eastAsia" w:ascii="宋体"/>
          <w:b/>
          <w:szCs w:val="21"/>
        </w:rPr>
        <w:t>32. 定标</w:t>
      </w:r>
    </w:p>
    <w:p>
      <w:pPr>
        <w:spacing w:line="312" w:lineRule="auto"/>
        <w:jc w:val="left"/>
        <w:rPr>
          <w:rFonts w:ascii="宋体"/>
          <w:szCs w:val="21"/>
        </w:rPr>
      </w:pPr>
      <w:r>
        <w:rPr>
          <w:rFonts w:hint="eastAsia" w:ascii="宋体"/>
          <w:szCs w:val="21"/>
        </w:rPr>
        <w:t xml:space="preserve">    32.1 中标人的确定</w:t>
      </w:r>
    </w:p>
    <w:p>
      <w:pPr>
        <w:spacing w:line="312" w:lineRule="auto"/>
        <w:ind w:firstLine="420" w:firstLineChars="200"/>
        <w:rPr>
          <w:rFonts w:ascii="宋体"/>
          <w:szCs w:val="21"/>
        </w:rPr>
      </w:pPr>
      <w:r>
        <w:rPr>
          <w:rFonts w:hint="eastAsia" w:ascii="宋体"/>
          <w:szCs w:val="21"/>
        </w:rPr>
        <w:t>32.1.1除投标人须知前附表规定评标委员会直接确定中标人外，招标人依据评标委员会推荐的中标候选人确定中标人，评标委员会推荐中标候选人的人数见投标人须知前附表。</w:t>
      </w:r>
    </w:p>
    <w:p>
      <w:pPr>
        <w:spacing w:line="312" w:lineRule="auto"/>
        <w:ind w:left="120" w:leftChars="57" w:firstLine="315" w:firstLineChars="150"/>
        <w:jc w:val="left"/>
        <w:rPr>
          <w:rFonts w:ascii="宋体"/>
          <w:szCs w:val="21"/>
        </w:rPr>
      </w:pPr>
      <w:r>
        <w:rPr>
          <w:rFonts w:hint="eastAsia" w:ascii="宋体"/>
          <w:szCs w:val="21"/>
        </w:rPr>
        <w:t>32.1.2</w:t>
      </w:r>
      <w:r>
        <w:rPr>
          <w:rFonts w:hint="eastAsia" w:ascii="宋体" w:hAnsi="宋体"/>
          <w:szCs w:val="21"/>
        </w:rPr>
        <w:t>中标人确定后，招标人应将中标人名单在国家级滁州经济技术开发区网上公告。</w:t>
      </w:r>
    </w:p>
    <w:p>
      <w:pPr>
        <w:pStyle w:val="2"/>
        <w:spacing w:line="312" w:lineRule="auto"/>
        <w:ind w:left="0" w:leftChars="0" w:firstLine="422"/>
      </w:pPr>
      <w:r>
        <w:rPr>
          <w:rFonts w:hint="eastAsia" w:ascii="宋体" w:hAnsi="宋体"/>
          <w:b/>
          <w:bCs/>
          <w:szCs w:val="21"/>
        </w:rPr>
        <w:t>32.1.3中标候选人无正当理由放弃中标候选资格的，其保证金将不予退还。</w:t>
      </w:r>
    </w:p>
    <w:p>
      <w:pPr>
        <w:spacing w:line="312" w:lineRule="auto"/>
        <w:ind w:firstLine="420" w:firstLineChars="200"/>
        <w:jc w:val="left"/>
        <w:rPr>
          <w:rFonts w:ascii="宋体"/>
          <w:szCs w:val="21"/>
        </w:rPr>
      </w:pPr>
      <w:r>
        <w:rPr>
          <w:rFonts w:hint="eastAsia" w:ascii="宋体"/>
          <w:szCs w:val="21"/>
        </w:rPr>
        <w:t>32.2 中标通知书</w:t>
      </w:r>
    </w:p>
    <w:p>
      <w:pPr>
        <w:pStyle w:val="14"/>
        <w:spacing w:line="312" w:lineRule="auto"/>
        <w:ind w:firstLine="420" w:firstLineChars="200"/>
      </w:pPr>
      <w:r>
        <w:rPr>
          <w:rFonts w:hint="eastAsia" w:ascii="宋体"/>
          <w:szCs w:val="21"/>
        </w:rPr>
        <w:t>32.2.1</w:t>
      </w:r>
      <w:r>
        <w:rPr>
          <w:rFonts w:hint="eastAsia"/>
          <w:szCs w:val="21"/>
        </w:rPr>
        <w:t>招标人或招标代理机构应在中标人确定之日起2个工作日内，在</w:t>
      </w:r>
      <w:r>
        <w:rPr>
          <w:rFonts w:hint="eastAsia" w:ascii="宋体" w:hAnsi="宋体"/>
          <w:szCs w:val="21"/>
        </w:rPr>
        <w:t>国家级滁州经济技术开发区</w:t>
      </w:r>
      <w:r>
        <w:rPr>
          <w:rFonts w:hint="eastAsia"/>
          <w:szCs w:val="21"/>
        </w:rPr>
        <w:t>网站公告中标结果并同时向中标人发出中标通知书。</w:t>
      </w:r>
    </w:p>
    <w:p>
      <w:pPr>
        <w:snapToGrid w:val="0"/>
        <w:spacing w:line="312" w:lineRule="auto"/>
        <w:ind w:firstLine="420" w:firstLineChars="200"/>
        <w:rPr>
          <w:rFonts w:ascii="宋体"/>
          <w:szCs w:val="21"/>
        </w:rPr>
      </w:pPr>
      <w:r>
        <w:rPr>
          <w:rFonts w:hint="eastAsia" w:ascii="宋体"/>
          <w:szCs w:val="21"/>
        </w:rPr>
        <w:t>32.2.2中标通知书须加盖招标人、招标代理公司公章后，方可发出。</w:t>
      </w:r>
    </w:p>
    <w:p>
      <w:pPr>
        <w:spacing w:line="312" w:lineRule="auto"/>
        <w:ind w:firstLine="420" w:firstLineChars="200"/>
        <w:rPr>
          <w:rFonts w:ascii="宋体"/>
          <w:szCs w:val="21"/>
        </w:rPr>
      </w:pPr>
      <w:r>
        <w:rPr>
          <w:rFonts w:hint="eastAsia" w:ascii="宋体"/>
          <w:szCs w:val="21"/>
        </w:rPr>
        <w:t>32.2.3本项目采用综合评分法，招标人根据评标委员会推荐的2名中标人。</w:t>
      </w:r>
    </w:p>
    <w:p>
      <w:pPr>
        <w:spacing w:line="312" w:lineRule="auto"/>
        <w:ind w:firstLine="420" w:firstLineChars="200"/>
        <w:rPr>
          <w:rFonts w:ascii="宋体"/>
          <w:szCs w:val="21"/>
        </w:rPr>
      </w:pPr>
      <w:r>
        <w:rPr>
          <w:rFonts w:hint="eastAsia" w:ascii="宋体"/>
          <w:szCs w:val="21"/>
        </w:rPr>
        <w:t>若排名第一的中标候选人放弃中标、因不可抗力提出不能履行合同，或者招标文件规定应当提交履约保证金而在规定的期限内未能提交，或者被查实存在影响中标结果的违法行为等情形，不符合中标条件的，招标人直接确定第二中标候选人为中标人。若排名第二的中标候选人放弃中标、因不可抗力提出不能履行合同，或者招标文件规定应当提交履约保证金而在规定的期限内未能提交，或者被查实存在影响中标结果的违法行为等情形，不符合中标条件的，招标人可以重新招标。</w:t>
      </w:r>
    </w:p>
    <w:p>
      <w:pPr>
        <w:adjustRightInd w:val="0"/>
        <w:snapToGrid w:val="0"/>
        <w:spacing w:line="400" w:lineRule="exact"/>
        <w:ind w:firstLine="422" w:firstLineChars="200"/>
        <w:rPr>
          <w:rFonts w:ascii="宋体" w:hAnsi="宋体"/>
          <w:b/>
          <w:bCs/>
          <w:szCs w:val="21"/>
        </w:rPr>
      </w:pPr>
      <w:bookmarkStart w:id="73" w:name="_Toc449028872"/>
      <w:r>
        <w:rPr>
          <w:rFonts w:hint="eastAsia" w:ascii="宋体" w:hAnsi="宋体"/>
          <w:b/>
          <w:bCs/>
          <w:szCs w:val="21"/>
        </w:rPr>
        <w:t>33.变更交易方式</w:t>
      </w:r>
    </w:p>
    <w:p>
      <w:pPr>
        <w:adjustRightInd w:val="0"/>
        <w:snapToGrid w:val="0"/>
        <w:spacing w:line="400" w:lineRule="exact"/>
        <w:ind w:firstLine="420" w:firstLineChars="200"/>
        <w:rPr>
          <w:rFonts w:ascii="宋体"/>
          <w:kern w:val="10"/>
          <w:szCs w:val="21"/>
        </w:rPr>
      </w:pPr>
      <w:r>
        <w:rPr>
          <w:rFonts w:hint="eastAsia" w:ascii="宋体" w:hAnsi="宋体"/>
          <w:kern w:val="10"/>
          <w:szCs w:val="21"/>
        </w:rPr>
        <w:t>33.1投标截止时间结束后提交投标文件的投标人少于3家或者符合专业条件的投标人或对招标文件作出实质性响应的投标人不足3家的，招标人同意后，与符合投标资质的投标单位开展谈判。</w:t>
      </w:r>
      <w:bookmarkEnd w:id="73"/>
    </w:p>
    <w:p>
      <w:pPr>
        <w:pStyle w:val="6"/>
        <w:numPr>
          <w:ilvl w:val="0"/>
          <w:numId w:val="0"/>
        </w:numPr>
        <w:spacing w:line="312" w:lineRule="auto"/>
        <w:jc w:val="center"/>
        <w:rPr>
          <w:rFonts w:ascii="黑体" w:eastAsia="黑体"/>
        </w:rPr>
      </w:pPr>
      <w:bookmarkStart w:id="74" w:name="_Toc5652"/>
      <w:bookmarkStart w:id="75" w:name="_Toc29773"/>
      <w:bookmarkStart w:id="76" w:name="_Toc449028873"/>
      <w:r>
        <w:rPr>
          <w:rFonts w:hint="eastAsia" w:ascii="黑体" w:eastAsia="黑体"/>
          <w:sz w:val="28"/>
          <w:szCs w:val="28"/>
        </w:rPr>
        <w:t>（六）合同的授予</w:t>
      </w:r>
      <w:bookmarkEnd w:id="74"/>
      <w:bookmarkEnd w:id="75"/>
      <w:bookmarkEnd w:id="76"/>
    </w:p>
    <w:p>
      <w:pPr>
        <w:spacing w:line="312" w:lineRule="auto"/>
        <w:ind w:firstLine="521" w:firstLineChars="247"/>
        <w:jc w:val="left"/>
        <w:rPr>
          <w:rFonts w:ascii="宋体"/>
          <w:b/>
          <w:szCs w:val="21"/>
        </w:rPr>
      </w:pPr>
      <w:r>
        <w:rPr>
          <w:rFonts w:hint="eastAsia" w:ascii="宋体"/>
          <w:b/>
          <w:szCs w:val="21"/>
        </w:rPr>
        <w:t>34. 合同授予标准</w:t>
      </w:r>
    </w:p>
    <w:p>
      <w:pPr>
        <w:spacing w:line="312" w:lineRule="auto"/>
        <w:ind w:firstLine="525" w:firstLineChars="250"/>
        <w:jc w:val="left"/>
        <w:rPr>
          <w:rFonts w:ascii="宋体"/>
          <w:szCs w:val="21"/>
        </w:rPr>
      </w:pPr>
      <w:r>
        <w:rPr>
          <w:rFonts w:hint="eastAsia" w:ascii="宋体"/>
          <w:szCs w:val="21"/>
        </w:rPr>
        <w:t>34.1本招标项目的合同将授予按本投标须知第32条规定所确定的中标人。</w:t>
      </w:r>
    </w:p>
    <w:p>
      <w:pPr>
        <w:spacing w:line="312" w:lineRule="auto"/>
        <w:ind w:firstLine="521" w:firstLineChars="247"/>
        <w:jc w:val="left"/>
        <w:rPr>
          <w:rFonts w:ascii="宋体"/>
          <w:b/>
          <w:szCs w:val="21"/>
        </w:rPr>
      </w:pPr>
      <w:r>
        <w:rPr>
          <w:rFonts w:hint="eastAsia" w:ascii="宋体"/>
          <w:b/>
          <w:szCs w:val="21"/>
        </w:rPr>
        <w:t>35. 合同协议书的签订</w:t>
      </w:r>
    </w:p>
    <w:p>
      <w:pPr>
        <w:spacing w:line="312" w:lineRule="auto"/>
        <w:ind w:firstLine="495" w:firstLineChars="250"/>
        <w:jc w:val="left"/>
        <w:rPr>
          <w:rFonts w:ascii="宋体"/>
          <w:spacing w:val="-6"/>
          <w:szCs w:val="21"/>
        </w:rPr>
      </w:pPr>
      <w:r>
        <w:rPr>
          <w:rFonts w:hint="eastAsia" w:ascii="宋体"/>
          <w:spacing w:val="-6"/>
          <w:szCs w:val="21"/>
        </w:rPr>
        <w:t>35.1招标人与中标人将依前附表时间要求，按照招标文件和中标人的投标文件订立书面采购合同。招标人和中标人不得再行订立背离合同实质性内容的其他协议。</w:t>
      </w:r>
    </w:p>
    <w:p>
      <w:pPr>
        <w:spacing w:line="312" w:lineRule="auto"/>
        <w:ind w:firstLine="525" w:firstLineChars="250"/>
        <w:jc w:val="left"/>
        <w:rPr>
          <w:rFonts w:ascii="宋体"/>
          <w:szCs w:val="21"/>
        </w:rPr>
      </w:pPr>
      <w:r>
        <w:rPr>
          <w:rFonts w:hint="eastAsia" w:ascii="宋体"/>
          <w:szCs w:val="21"/>
        </w:rPr>
        <w:t>35.2 招标人如不按本投标须知第32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312" w:lineRule="auto"/>
        <w:ind w:firstLine="525" w:firstLineChars="250"/>
        <w:jc w:val="left"/>
        <w:rPr>
          <w:rFonts w:ascii="宋体"/>
          <w:szCs w:val="21"/>
        </w:rPr>
      </w:pPr>
      <w:r>
        <w:rPr>
          <w:rFonts w:hint="eastAsia" w:ascii="宋体"/>
          <w:szCs w:val="21"/>
        </w:rPr>
        <w:t>35.3中标人如不按本投标须知第32条的规定与招标人订立合同，则招标人将废除授标，投标担保金不予退还，给招标人造成的损失超过投标担保数额的，还应当对超过部分予以赔偿，同时依法承担相应法律责任。</w:t>
      </w:r>
    </w:p>
    <w:p>
      <w:pPr>
        <w:spacing w:line="312" w:lineRule="auto"/>
        <w:ind w:firstLine="420" w:firstLineChars="200"/>
        <w:jc w:val="left"/>
        <w:rPr>
          <w:rFonts w:ascii="宋体"/>
          <w:szCs w:val="21"/>
        </w:rPr>
      </w:pPr>
      <w:r>
        <w:rPr>
          <w:rFonts w:hint="eastAsia" w:ascii="宋体"/>
          <w:szCs w:val="21"/>
        </w:rPr>
        <w:t>35.4中标人应当按照合同约定履行义务，完成中标项目，</w:t>
      </w:r>
      <w:r>
        <w:rPr>
          <w:rFonts w:hint="eastAsia" w:ascii="宋体"/>
          <w:b/>
          <w:bCs/>
          <w:szCs w:val="21"/>
        </w:rPr>
        <w:t>不得将中标项目转让（转包）给他人</w:t>
      </w:r>
      <w:r>
        <w:rPr>
          <w:rFonts w:hint="eastAsia" w:ascii="宋体"/>
          <w:szCs w:val="21"/>
        </w:rPr>
        <w:t>。</w:t>
      </w:r>
    </w:p>
    <w:p>
      <w:pPr>
        <w:spacing w:line="312" w:lineRule="auto"/>
        <w:rPr>
          <w:rFonts w:ascii="宋体"/>
          <w:b/>
          <w:szCs w:val="21"/>
        </w:rPr>
      </w:pPr>
      <w:r>
        <w:rPr>
          <w:rFonts w:hint="eastAsia" w:ascii="宋体"/>
          <w:szCs w:val="21"/>
        </w:rPr>
        <w:t xml:space="preserve">    36.</w:t>
      </w:r>
      <w:bookmarkStart w:id="77" w:name="_Toc217446068"/>
      <w:r>
        <w:rPr>
          <w:rFonts w:hint="eastAsia" w:ascii="宋体"/>
          <w:szCs w:val="21"/>
        </w:rPr>
        <w:t xml:space="preserve"> </w:t>
      </w:r>
      <w:r>
        <w:rPr>
          <w:rFonts w:hint="eastAsia" w:ascii="宋体"/>
          <w:b/>
          <w:szCs w:val="21"/>
        </w:rPr>
        <w:t>履约保证金</w:t>
      </w:r>
      <w:bookmarkEnd w:id="77"/>
    </w:p>
    <w:p>
      <w:pPr>
        <w:spacing w:line="312" w:lineRule="auto"/>
        <w:ind w:firstLine="420" w:firstLineChars="200"/>
        <w:rPr>
          <w:rFonts w:ascii="宋体"/>
          <w:szCs w:val="21"/>
        </w:rPr>
      </w:pPr>
      <w:r>
        <w:rPr>
          <w:rFonts w:hint="eastAsia" w:ascii="宋体"/>
          <w:szCs w:val="21"/>
        </w:rPr>
        <w:t>36.1</w:t>
      </w:r>
      <w:r>
        <w:rPr>
          <w:rFonts w:hint="eastAsia" w:ascii="宋体" w:hAnsi="宋体"/>
          <w:szCs w:val="21"/>
        </w:rPr>
        <w:t>在签订合同前，中标人应按投标人须知前附表规定的担保形式、金额和招标文件第五章“合同条款及格式”规定的或者事先经过招标人书面认可的履约担保格式向招标人提交履约担保。</w:t>
      </w:r>
    </w:p>
    <w:p>
      <w:pPr>
        <w:spacing w:line="312" w:lineRule="auto"/>
        <w:ind w:firstLine="420" w:firstLineChars="200"/>
        <w:rPr>
          <w:rFonts w:ascii="宋体"/>
          <w:szCs w:val="21"/>
        </w:rPr>
      </w:pPr>
      <w:r>
        <w:rPr>
          <w:rFonts w:hint="eastAsia" w:ascii="宋体"/>
          <w:szCs w:val="21"/>
        </w:rPr>
        <w:t>36.2 中标人不能按本章第36.1项要求提交履约担保的，视为放弃中标，其投标保证金不予退还，给招标人造成的损失超过投标保证金数额的，中标人还应当对超过部分予以赔偿。</w:t>
      </w:r>
    </w:p>
    <w:p>
      <w:pPr>
        <w:pStyle w:val="6"/>
        <w:numPr>
          <w:ilvl w:val="0"/>
          <w:numId w:val="0"/>
        </w:numPr>
        <w:spacing w:line="312" w:lineRule="auto"/>
        <w:jc w:val="center"/>
        <w:rPr>
          <w:rFonts w:ascii="黑体" w:eastAsia="黑体"/>
          <w:sz w:val="28"/>
          <w:szCs w:val="28"/>
        </w:rPr>
      </w:pPr>
      <w:bookmarkStart w:id="78" w:name="_Toc18242"/>
      <w:bookmarkStart w:id="79" w:name="_Toc3946"/>
      <w:bookmarkStart w:id="80" w:name="_Toc449028874"/>
      <w:r>
        <w:rPr>
          <w:rFonts w:hint="eastAsia" w:ascii="黑体" w:eastAsia="黑体"/>
          <w:sz w:val="28"/>
          <w:szCs w:val="28"/>
        </w:rPr>
        <w:t>（七）纪律和监督</w:t>
      </w:r>
      <w:bookmarkEnd w:id="78"/>
      <w:bookmarkEnd w:id="79"/>
      <w:bookmarkEnd w:id="80"/>
    </w:p>
    <w:p>
      <w:pPr>
        <w:spacing w:line="360" w:lineRule="auto"/>
        <w:ind w:firstLine="310" w:firstLineChars="147"/>
        <w:jc w:val="left"/>
        <w:rPr>
          <w:rFonts w:ascii="宋体"/>
          <w:b/>
          <w:szCs w:val="21"/>
        </w:rPr>
      </w:pPr>
      <w:r>
        <w:rPr>
          <w:rFonts w:hint="eastAsia" w:ascii="宋体"/>
          <w:b/>
          <w:szCs w:val="21"/>
        </w:rPr>
        <w:t xml:space="preserve">37. 对招标人的纪律要求 </w:t>
      </w:r>
    </w:p>
    <w:p>
      <w:pPr>
        <w:adjustRightInd w:val="0"/>
        <w:snapToGrid w:val="0"/>
        <w:spacing w:line="360" w:lineRule="auto"/>
        <w:ind w:firstLine="315" w:firstLineChars="150"/>
        <w:rPr>
          <w:rFonts w:ascii="宋体"/>
          <w:kern w:val="10"/>
          <w:szCs w:val="21"/>
        </w:rPr>
      </w:pPr>
      <w:r>
        <w:rPr>
          <w:rFonts w:hint="eastAsia" w:ascii="宋体"/>
          <w:kern w:val="10"/>
          <w:szCs w:val="21"/>
        </w:rPr>
        <w:t xml:space="preserve">37.1招标人不得泄漏招标投标活动中应当保密的情况和资料，不得与投标人串通损害国家利益，社会公共利益或者他人合法权益。 </w:t>
      </w:r>
    </w:p>
    <w:p>
      <w:pPr>
        <w:spacing w:line="360" w:lineRule="auto"/>
        <w:ind w:firstLine="310" w:firstLineChars="147"/>
        <w:jc w:val="left"/>
        <w:rPr>
          <w:rFonts w:ascii="宋体"/>
          <w:b/>
          <w:szCs w:val="21"/>
        </w:rPr>
      </w:pPr>
      <w:r>
        <w:rPr>
          <w:rFonts w:hint="eastAsia" w:ascii="宋体"/>
          <w:b/>
          <w:szCs w:val="21"/>
        </w:rPr>
        <w:t xml:space="preserve">38. 对投标人的纪律要求 </w:t>
      </w:r>
    </w:p>
    <w:p>
      <w:pPr>
        <w:adjustRightInd w:val="0"/>
        <w:snapToGrid w:val="0"/>
        <w:spacing w:line="360" w:lineRule="auto"/>
        <w:ind w:firstLine="315" w:firstLineChars="150"/>
        <w:rPr>
          <w:rFonts w:ascii="宋体"/>
          <w:kern w:val="10"/>
          <w:szCs w:val="21"/>
        </w:rPr>
      </w:pPr>
      <w:r>
        <w:rPr>
          <w:rFonts w:hint="eastAsia" w:ascii="宋体"/>
          <w:kern w:val="10"/>
          <w:szCs w:val="21"/>
        </w:rPr>
        <w:t>38.1投标人不得相互串通投标或者与招标人串通投标，不得向招标人或者评标委员会成员行贿谋取中标，不得以他人名义投标或者以其他方式弄虚作假骗取中标；投标人不得以任何方式干扰、影响评标工作。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ind w:firstLine="310" w:firstLineChars="147"/>
        <w:jc w:val="left"/>
        <w:rPr>
          <w:rFonts w:ascii="宋体"/>
          <w:b/>
          <w:szCs w:val="21"/>
        </w:rPr>
      </w:pPr>
      <w:r>
        <w:rPr>
          <w:rFonts w:hint="eastAsia" w:ascii="宋体"/>
          <w:b/>
          <w:szCs w:val="21"/>
        </w:rPr>
        <w:t xml:space="preserve">39. 对评标委员会成员的纪律要求 </w:t>
      </w:r>
    </w:p>
    <w:p>
      <w:pPr>
        <w:adjustRightInd w:val="0"/>
        <w:snapToGrid w:val="0"/>
        <w:spacing w:line="360" w:lineRule="auto"/>
        <w:ind w:firstLine="315" w:firstLineChars="150"/>
        <w:rPr>
          <w:rFonts w:ascii="宋体"/>
          <w:kern w:val="10"/>
          <w:szCs w:val="21"/>
        </w:rPr>
      </w:pPr>
      <w:r>
        <w:rPr>
          <w:rFonts w:hint="eastAsia" w:ascii="宋体"/>
          <w:kern w:val="10"/>
          <w:szCs w:val="21"/>
        </w:rPr>
        <w:t>39.1评标委员会成员不得收受他人的财物或者其他好处，不得向他人透漏对投标文件的评审和比较、中标候选人的推荐情况以及评标有关的其他情况。</w:t>
      </w:r>
    </w:p>
    <w:p>
      <w:pPr>
        <w:adjustRightInd w:val="0"/>
        <w:snapToGrid w:val="0"/>
        <w:spacing w:line="360" w:lineRule="auto"/>
        <w:ind w:firstLine="315" w:firstLineChars="150"/>
        <w:rPr>
          <w:rFonts w:ascii="宋体"/>
          <w:kern w:val="10"/>
          <w:szCs w:val="21"/>
        </w:rPr>
      </w:pPr>
      <w:r>
        <w:rPr>
          <w:rFonts w:hint="eastAsia" w:ascii="宋体"/>
          <w:kern w:val="10"/>
          <w:szCs w:val="21"/>
        </w:rPr>
        <w:t xml:space="preserve">39.2在评标活动中，评标委员会成员不得擅离职守，影响评标程序正常进行，不得使用第三章“评标办法”没有规定的评审因素和标准进行评标。 </w:t>
      </w:r>
    </w:p>
    <w:p>
      <w:pPr>
        <w:spacing w:line="360" w:lineRule="auto"/>
        <w:ind w:firstLine="310" w:firstLineChars="147"/>
        <w:jc w:val="left"/>
        <w:rPr>
          <w:rFonts w:ascii="宋体"/>
          <w:b/>
          <w:szCs w:val="21"/>
        </w:rPr>
      </w:pPr>
      <w:r>
        <w:rPr>
          <w:rFonts w:hint="eastAsia" w:ascii="宋体"/>
          <w:b/>
          <w:szCs w:val="21"/>
        </w:rPr>
        <w:t xml:space="preserve">40. 对与评标活动有关的工作人员的纪律要求 </w:t>
      </w:r>
    </w:p>
    <w:p>
      <w:pPr>
        <w:adjustRightInd w:val="0"/>
        <w:snapToGrid w:val="0"/>
        <w:spacing w:line="360" w:lineRule="auto"/>
        <w:ind w:firstLine="315" w:firstLineChars="150"/>
        <w:rPr>
          <w:rFonts w:ascii="宋体"/>
          <w:kern w:val="10"/>
          <w:szCs w:val="21"/>
        </w:rPr>
      </w:pPr>
      <w:r>
        <w:rPr>
          <w:rFonts w:hint="eastAsia" w:ascii="宋体"/>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numPr>
          <w:ilvl w:val="0"/>
          <w:numId w:val="0"/>
        </w:numPr>
        <w:spacing w:line="312" w:lineRule="auto"/>
        <w:jc w:val="center"/>
        <w:rPr>
          <w:rFonts w:ascii="黑体" w:eastAsia="黑体"/>
          <w:sz w:val="28"/>
          <w:szCs w:val="28"/>
        </w:rPr>
      </w:pPr>
      <w:bookmarkStart w:id="81" w:name="_Toc13322"/>
      <w:bookmarkStart w:id="82" w:name="_Toc449028875"/>
      <w:bookmarkStart w:id="83" w:name="_Toc2133"/>
      <w:r>
        <w:rPr>
          <w:rFonts w:hint="eastAsia" w:ascii="黑体" w:eastAsia="黑体"/>
          <w:sz w:val="28"/>
          <w:szCs w:val="28"/>
        </w:rPr>
        <w:t>（八）质疑与投诉</w:t>
      </w:r>
      <w:bookmarkEnd w:id="81"/>
      <w:bookmarkEnd w:id="82"/>
      <w:bookmarkEnd w:id="83"/>
    </w:p>
    <w:p>
      <w:pPr>
        <w:spacing w:line="312" w:lineRule="auto"/>
        <w:ind w:firstLine="314" w:firstLineChars="149"/>
        <w:jc w:val="left"/>
        <w:rPr>
          <w:rFonts w:ascii="宋体" w:hAnsi="宋体"/>
          <w:b/>
          <w:szCs w:val="21"/>
        </w:rPr>
      </w:pPr>
      <w:r>
        <w:rPr>
          <w:rFonts w:hint="eastAsia" w:ascii="宋体" w:hAnsi="宋体"/>
          <w:b/>
          <w:szCs w:val="21"/>
        </w:rPr>
        <w:t>41. 询问、质疑</w:t>
      </w:r>
    </w:p>
    <w:p>
      <w:pPr>
        <w:adjustRightInd w:val="0"/>
        <w:snapToGrid w:val="0"/>
        <w:spacing w:line="336" w:lineRule="auto"/>
        <w:ind w:firstLine="315" w:firstLineChars="150"/>
        <w:rPr>
          <w:rFonts w:ascii="宋体"/>
          <w:kern w:val="10"/>
          <w:szCs w:val="21"/>
        </w:rPr>
      </w:pPr>
      <w:r>
        <w:rPr>
          <w:rFonts w:hint="eastAsia" w:ascii="宋体"/>
          <w:kern w:val="10"/>
          <w:szCs w:val="21"/>
        </w:rPr>
        <w:t>41.1 投标人对招标活动事项有疑问的，可以向招标人（代理机构）提出询问，招标人（代理机构）将在三个工作日内作出答复，但答复的内容不涉及商业秘密。</w:t>
      </w:r>
    </w:p>
    <w:p>
      <w:pPr>
        <w:adjustRightInd w:val="0"/>
        <w:snapToGrid w:val="0"/>
        <w:spacing w:line="336" w:lineRule="auto"/>
        <w:ind w:firstLine="315" w:firstLineChars="150"/>
        <w:rPr>
          <w:rFonts w:ascii="宋体"/>
          <w:kern w:val="10"/>
          <w:szCs w:val="21"/>
        </w:rPr>
      </w:pPr>
      <w:r>
        <w:rPr>
          <w:rFonts w:hint="eastAsia" w:ascii="宋体"/>
          <w:kern w:val="10"/>
          <w:szCs w:val="21"/>
        </w:rPr>
        <w:t>41.2 投标人认为采购文件、采购过程和中标结果使自己的合法权益受到损害的，可以在知道或者应当知道其权益受到损害之日起七个工作日内，以书面形式将质疑文件原件送达招标人。</w:t>
      </w:r>
    </w:p>
    <w:p>
      <w:pPr>
        <w:adjustRightInd w:val="0"/>
        <w:snapToGrid w:val="0"/>
        <w:spacing w:line="336" w:lineRule="auto"/>
        <w:ind w:firstLine="315" w:firstLineChars="150"/>
        <w:rPr>
          <w:rFonts w:ascii="宋体"/>
          <w:kern w:val="10"/>
          <w:szCs w:val="21"/>
        </w:rPr>
      </w:pPr>
      <w:r>
        <w:rPr>
          <w:rFonts w:hint="eastAsia" w:ascii="宋体"/>
          <w:kern w:val="10"/>
          <w:szCs w:val="21"/>
        </w:rPr>
        <w:t>41.3中标公告发布后，参与投标的投标人对中标公告有异议的，应该在中标公告发布之日起或公告期限届满之日起七个工作日内向招标人书面提出质疑。但属于第41.1条问题，且未在规定时间提出质疑的，不予受理。</w:t>
      </w:r>
    </w:p>
    <w:p>
      <w:pPr>
        <w:adjustRightInd w:val="0"/>
        <w:snapToGrid w:val="0"/>
        <w:spacing w:line="336" w:lineRule="auto"/>
        <w:ind w:firstLine="315" w:firstLineChars="150"/>
        <w:rPr>
          <w:rFonts w:ascii="宋体"/>
          <w:kern w:val="10"/>
          <w:szCs w:val="21"/>
        </w:rPr>
      </w:pPr>
      <w:r>
        <w:rPr>
          <w:rFonts w:hint="eastAsia" w:ascii="宋体"/>
          <w:kern w:val="10"/>
          <w:szCs w:val="21"/>
        </w:rPr>
        <w:t>41.4参与投标的投标人对中标公告提出的书面质疑，负有举证的责任。在质疑函中应清楚地写明所质疑的项目名称、编号、标段号标段名（如果有分标段）、质疑的事项与事实等内容，并附上质疑事项、事实的证明文件。投标人在经其法定代表人签字并盖上投标人公章后，将该质疑函递交至招标人或代理机构。</w:t>
      </w:r>
    </w:p>
    <w:p>
      <w:pPr>
        <w:adjustRightInd w:val="0"/>
        <w:snapToGrid w:val="0"/>
        <w:spacing w:line="336" w:lineRule="auto"/>
        <w:ind w:firstLine="315" w:firstLineChars="150"/>
        <w:rPr>
          <w:rFonts w:ascii="宋体"/>
          <w:kern w:val="10"/>
          <w:szCs w:val="21"/>
        </w:rPr>
      </w:pPr>
      <w:r>
        <w:rPr>
          <w:rFonts w:hint="eastAsia" w:ascii="宋体"/>
          <w:kern w:val="10"/>
          <w:szCs w:val="21"/>
        </w:rPr>
        <w:t>41.5招标人或代理机构在收到投标人的质疑函后，将审查质疑函的格式、内容以及所附的证明文件是否符合要求。如不符合，说明原因退回投标人；如符合要求，则接受该质疑函并向投标人出具受理证明。</w:t>
      </w:r>
    </w:p>
    <w:p>
      <w:pPr>
        <w:adjustRightInd w:val="0"/>
        <w:snapToGrid w:val="0"/>
        <w:spacing w:line="336" w:lineRule="auto"/>
        <w:ind w:firstLine="315" w:firstLineChars="150"/>
        <w:rPr>
          <w:rFonts w:ascii="宋体"/>
          <w:kern w:val="10"/>
          <w:szCs w:val="21"/>
        </w:rPr>
      </w:pPr>
      <w:r>
        <w:rPr>
          <w:rFonts w:hint="eastAsia" w:ascii="宋体"/>
          <w:kern w:val="10"/>
          <w:szCs w:val="21"/>
        </w:rPr>
        <w:t>41.6处理质疑的时间，从实际接受投标人质疑函、出具受理证明的时间开始计算。</w:t>
      </w:r>
    </w:p>
    <w:p>
      <w:pPr>
        <w:spacing w:line="336" w:lineRule="auto"/>
        <w:ind w:firstLine="314" w:firstLineChars="149"/>
        <w:jc w:val="left"/>
        <w:rPr>
          <w:rFonts w:ascii="宋体" w:hAnsi="宋体"/>
          <w:b/>
          <w:szCs w:val="21"/>
        </w:rPr>
      </w:pPr>
      <w:r>
        <w:rPr>
          <w:rFonts w:hint="eastAsia" w:ascii="宋体" w:hAnsi="宋体"/>
          <w:b/>
          <w:szCs w:val="21"/>
        </w:rPr>
        <w:t>42. 投诉</w:t>
      </w:r>
    </w:p>
    <w:p>
      <w:pPr>
        <w:spacing w:line="336" w:lineRule="auto"/>
        <w:ind w:firstLine="315" w:firstLineChars="150"/>
        <w:jc w:val="left"/>
        <w:rPr>
          <w:rFonts w:ascii="宋体"/>
          <w:kern w:val="10"/>
          <w:szCs w:val="21"/>
        </w:rPr>
      </w:pPr>
      <w:r>
        <w:rPr>
          <w:rFonts w:hint="eastAsia" w:ascii="宋体" w:hAnsi="宋体"/>
          <w:szCs w:val="21"/>
        </w:rPr>
        <w:t>42.1</w:t>
      </w:r>
      <w:r>
        <w:rPr>
          <w:rFonts w:ascii="宋体"/>
          <w:kern w:val="10"/>
          <w:szCs w:val="21"/>
        </w:rPr>
        <w:t>投标人对招标人的答复不满意，或者招标人未在规定的时间内答复的，可以在答复期满后十五个工作日内按有关规定，向</w:t>
      </w:r>
      <w:r>
        <w:rPr>
          <w:rFonts w:hint="eastAsia" w:ascii="宋体"/>
          <w:kern w:val="10"/>
          <w:szCs w:val="21"/>
        </w:rPr>
        <w:t>相关监管部门</w:t>
      </w:r>
      <w:r>
        <w:rPr>
          <w:rFonts w:ascii="宋体"/>
          <w:kern w:val="10"/>
          <w:szCs w:val="21"/>
        </w:rPr>
        <w:t>进行投诉。</w:t>
      </w:r>
    </w:p>
    <w:p>
      <w:pPr>
        <w:pageBreakBefore/>
        <w:numPr>
          <w:ilvl w:val="0"/>
          <w:numId w:val="8"/>
        </w:numPr>
        <w:spacing w:line="312" w:lineRule="auto"/>
        <w:jc w:val="center"/>
        <w:outlineLvl w:val="0"/>
        <w:rPr>
          <w:rFonts w:ascii="黑体" w:eastAsia="黑体"/>
          <w:sz w:val="30"/>
          <w:szCs w:val="30"/>
        </w:rPr>
      </w:pPr>
      <w:bookmarkStart w:id="84" w:name="_Toc14081"/>
      <w:bookmarkStart w:id="85" w:name="_Toc14830"/>
      <w:r>
        <w:rPr>
          <w:rFonts w:hint="eastAsia" w:ascii="黑体" w:eastAsia="黑体"/>
          <w:sz w:val="30"/>
          <w:szCs w:val="30"/>
        </w:rPr>
        <w:t>评标办法</w:t>
      </w:r>
      <w:bookmarkEnd w:id="84"/>
      <w:bookmarkEnd w:id="85"/>
    </w:p>
    <w:p>
      <w:pPr>
        <w:spacing w:line="312" w:lineRule="auto"/>
        <w:jc w:val="center"/>
        <w:outlineLvl w:val="1"/>
        <w:rPr>
          <w:rFonts w:ascii="宋体"/>
          <w:b/>
          <w:sz w:val="28"/>
          <w:szCs w:val="28"/>
        </w:rPr>
      </w:pPr>
      <w:bookmarkStart w:id="86" w:name="_Toc362983801"/>
      <w:bookmarkStart w:id="87" w:name="_Toc449028877"/>
      <w:bookmarkStart w:id="88" w:name="_Toc7167"/>
      <w:bookmarkStart w:id="89" w:name="_Toc13858"/>
      <w:bookmarkStart w:id="90" w:name="_Toc267320058"/>
      <w:bookmarkStart w:id="91" w:name="_Toc363135205"/>
      <w:r>
        <w:rPr>
          <w:rFonts w:hint="eastAsia" w:ascii="宋体"/>
          <w:b/>
          <w:sz w:val="28"/>
          <w:szCs w:val="28"/>
        </w:rPr>
        <w:t>一  总则</w:t>
      </w:r>
      <w:bookmarkEnd w:id="86"/>
      <w:bookmarkEnd w:id="87"/>
      <w:bookmarkEnd w:id="88"/>
      <w:bookmarkEnd w:id="89"/>
    </w:p>
    <w:p>
      <w:pPr>
        <w:spacing w:line="312" w:lineRule="auto"/>
        <w:ind w:firstLine="316" w:firstLineChars="150"/>
        <w:jc w:val="left"/>
        <w:rPr>
          <w:rFonts w:ascii="宋体"/>
          <w:b/>
          <w:szCs w:val="21"/>
        </w:rPr>
      </w:pPr>
      <w:r>
        <w:rPr>
          <w:rFonts w:hint="eastAsia" w:ascii="宋体"/>
          <w:b/>
          <w:szCs w:val="21"/>
        </w:rPr>
        <w:t xml:space="preserve"> 1. 本次评标采用综合评分法</w:t>
      </w:r>
    </w:p>
    <w:p>
      <w:pPr>
        <w:spacing w:line="312" w:lineRule="auto"/>
        <w:ind w:firstLine="420" w:firstLineChars="200"/>
        <w:jc w:val="left"/>
        <w:rPr>
          <w:rFonts w:ascii="宋体" w:hAnsi="宋体"/>
          <w:sz w:val="24"/>
        </w:rPr>
      </w:pPr>
      <w:r>
        <w:rPr>
          <w:rFonts w:hint="eastAsia" w:ascii="宋体"/>
          <w:szCs w:val="21"/>
        </w:rPr>
        <w:t>1.1综合评分法是指投标文件满足招标文件全部实质性要求且按照评审因素的量化指标评审总得分从高到低的供应商为中标候选人的评标方法。</w:t>
      </w:r>
    </w:p>
    <w:p>
      <w:pPr>
        <w:spacing w:line="312" w:lineRule="auto"/>
        <w:ind w:firstLine="420" w:firstLineChars="200"/>
        <w:jc w:val="left"/>
        <w:rPr>
          <w:rFonts w:ascii="宋体"/>
          <w:szCs w:val="21"/>
        </w:rPr>
      </w:pPr>
      <w:r>
        <w:rPr>
          <w:rFonts w:hint="eastAsia" w:ascii="宋体"/>
          <w:szCs w:val="21"/>
        </w:rPr>
        <w:t xml:space="preserve"> 1.2综合评分法一般适用于较为复杂、评价指标难以量化且价格为非主要因素的非标准定制商品和非通用服务项目的项目评审。</w:t>
      </w:r>
    </w:p>
    <w:p>
      <w:pPr>
        <w:spacing w:line="312" w:lineRule="auto"/>
        <w:ind w:firstLine="422" w:firstLineChars="200"/>
        <w:rPr>
          <w:rFonts w:ascii="宋体"/>
          <w:b/>
          <w:szCs w:val="21"/>
        </w:rPr>
      </w:pPr>
      <w:r>
        <w:rPr>
          <w:rFonts w:hint="eastAsia" w:ascii="宋体"/>
          <w:b/>
          <w:szCs w:val="21"/>
        </w:rPr>
        <w:t>2．评标程序</w:t>
      </w:r>
    </w:p>
    <w:p>
      <w:pPr>
        <w:spacing w:line="312" w:lineRule="auto"/>
        <w:ind w:firstLine="420" w:firstLineChars="200"/>
        <w:rPr>
          <w:rFonts w:ascii="宋体"/>
          <w:szCs w:val="21"/>
        </w:rPr>
      </w:pPr>
      <w:r>
        <w:rPr>
          <w:rFonts w:hint="eastAsia" w:ascii="宋体"/>
          <w:szCs w:val="21"/>
        </w:rPr>
        <w:t>2.1投标文件的初审</w:t>
      </w:r>
    </w:p>
    <w:p>
      <w:pPr>
        <w:spacing w:line="312" w:lineRule="auto"/>
        <w:ind w:firstLine="420" w:firstLineChars="200"/>
        <w:jc w:val="left"/>
        <w:rPr>
          <w:rFonts w:ascii="宋体"/>
          <w:szCs w:val="21"/>
        </w:rPr>
      </w:pPr>
      <w:r>
        <w:rPr>
          <w:rFonts w:hint="eastAsia" w:ascii="宋体"/>
          <w:szCs w:val="21"/>
        </w:rPr>
        <w:t xml:space="preserve">2.1.1资格性检查。依据法律法规和招标文件的规定，对投标文件中的资格证明、投标保证金等进行审查，以确定投标人是否具备投标资格。 </w:t>
      </w:r>
    </w:p>
    <w:p>
      <w:pPr>
        <w:spacing w:line="312" w:lineRule="auto"/>
        <w:ind w:firstLine="420" w:firstLineChars="200"/>
        <w:jc w:val="left"/>
        <w:rPr>
          <w:rFonts w:ascii="宋体"/>
          <w:szCs w:val="21"/>
        </w:rPr>
      </w:pPr>
      <w:r>
        <w:rPr>
          <w:rFonts w:hint="eastAsia" w:ascii="宋体"/>
          <w:szCs w:val="21"/>
        </w:rPr>
        <w:t>2.1.2符合性检查。依据招标文件的规定，从投标文件的有效性、完整性和对招标文件的响应程度进行审查，以确定投标人是否对招标文件的实质性要求作出响应。</w:t>
      </w:r>
    </w:p>
    <w:p>
      <w:pPr>
        <w:spacing w:line="312" w:lineRule="auto"/>
        <w:ind w:firstLine="420" w:firstLineChars="200"/>
        <w:rPr>
          <w:rFonts w:ascii="宋体"/>
          <w:szCs w:val="21"/>
        </w:rPr>
      </w:pPr>
      <w:r>
        <w:rPr>
          <w:rFonts w:hint="eastAsia" w:ascii="宋体"/>
          <w:szCs w:val="21"/>
        </w:rPr>
        <w:t>2.2投标文件的澄清</w:t>
      </w:r>
    </w:p>
    <w:p>
      <w:pPr>
        <w:spacing w:line="312" w:lineRule="auto"/>
        <w:ind w:firstLine="420" w:firstLineChars="200"/>
        <w:rPr>
          <w:rFonts w:ascii="宋体"/>
          <w:szCs w:val="21"/>
        </w:rPr>
      </w:pPr>
      <w:r>
        <w:rPr>
          <w:rFonts w:hint="eastAsia" w:ascii="宋体"/>
          <w:szCs w:val="21"/>
        </w:rPr>
        <w:t>2.2.1在评标过程中，评标委员会认为需要，在监督人员在场的情况下，可要求投标单位对投标文件中的有关问题进行澄清或提供补充说明及有关资料，投标单位应做出书面答复。书面答复中不得变更价格、供货期、自报质量等实质性内容。</w:t>
      </w:r>
    </w:p>
    <w:p>
      <w:pPr>
        <w:spacing w:line="312" w:lineRule="auto"/>
        <w:ind w:firstLine="420" w:firstLineChars="200"/>
        <w:rPr>
          <w:rFonts w:ascii="宋体"/>
          <w:szCs w:val="21"/>
        </w:rPr>
      </w:pPr>
      <w:r>
        <w:rPr>
          <w:rFonts w:hint="eastAsia" w:ascii="宋体"/>
          <w:szCs w:val="21"/>
        </w:rPr>
        <w:t>2.2.2书面答复须经投标单位法定代表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312" w:lineRule="auto"/>
        <w:ind w:firstLine="420" w:firstLineChars="200"/>
        <w:jc w:val="left"/>
        <w:rPr>
          <w:rFonts w:ascii="宋体"/>
          <w:szCs w:val="21"/>
        </w:rPr>
      </w:pPr>
      <w:r>
        <w:rPr>
          <w:rFonts w:hint="eastAsia" w:ascii="宋体"/>
          <w:szCs w:val="21"/>
        </w:rPr>
        <w:t>2.2.3  招标人不接受投标单位主动提出的澄清。</w:t>
      </w:r>
    </w:p>
    <w:p>
      <w:pPr>
        <w:spacing w:line="312" w:lineRule="auto"/>
        <w:ind w:firstLine="420" w:firstLineChars="200"/>
        <w:rPr>
          <w:rFonts w:ascii="宋体"/>
          <w:szCs w:val="21"/>
        </w:rPr>
      </w:pPr>
      <w:r>
        <w:rPr>
          <w:rFonts w:hint="eastAsia" w:ascii="宋体"/>
          <w:szCs w:val="21"/>
        </w:rPr>
        <w:t>2.3比较与评价</w:t>
      </w:r>
    </w:p>
    <w:p>
      <w:pPr>
        <w:spacing w:line="312" w:lineRule="auto"/>
        <w:ind w:firstLine="420" w:firstLineChars="200"/>
        <w:jc w:val="left"/>
        <w:rPr>
          <w:rFonts w:ascii="宋体"/>
          <w:szCs w:val="21"/>
        </w:rPr>
      </w:pPr>
      <w:r>
        <w:rPr>
          <w:rFonts w:hint="eastAsia" w:ascii="宋体"/>
          <w:szCs w:val="21"/>
        </w:rPr>
        <w:t xml:space="preserve">2．3.1按招标文件中规定的评标方法和标准，对资格性检查和符合性检查合格的投标文件进行资信、商务和技术评估，综合比较与评价。 </w:t>
      </w:r>
      <w:r>
        <w:rPr>
          <w:rFonts w:hint="eastAsia" w:ascii="宋体"/>
          <w:szCs w:val="21"/>
        </w:rPr>
        <w:br w:type="textWrapping"/>
      </w:r>
      <w:r>
        <w:rPr>
          <w:rFonts w:hint="eastAsia" w:ascii="宋体"/>
          <w:szCs w:val="21"/>
        </w:rPr>
        <w:t xml:space="preserve">    2.4推荐中标候选人名单</w:t>
      </w:r>
    </w:p>
    <w:p>
      <w:pPr>
        <w:spacing w:line="312" w:lineRule="auto"/>
        <w:ind w:firstLine="420" w:firstLineChars="200"/>
        <w:jc w:val="left"/>
        <w:rPr>
          <w:rFonts w:ascii="宋体"/>
          <w:szCs w:val="21"/>
        </w:rPr>
      </w:pPr>
      <w:r>
        <w:rPr>
          <w:rFonts w:hint="eastAsia" w:ascii="宋体"/>
          <w:szCs w:val="21"/>
        </w:rPr>
        <w:t>2.4.1中标候选人数量应当根据采购需要确定，但必须按顺序排列中标候选人。</w:t>
      </w:r>
    </w:p>
    <w:p>
      <w:pPr>
        <w:spacing w:line="312" w:lineRule="auto"/>
        <w:ind w:firstLine="420" w:firstLineChars="200"/>
        <w:jc w:val="left"/>
        <w:rPr>
          <w:rFonts w:ascii="宋体"/>
          <w:szCs w:val="21"/>
        </w:rPr>
      </w:pPr>
      <w:r>
        <w:rPr>
          <w:rFonts w:hint="eastAsia" w:ascii="宋体"/>
          <w:szCs w:val="21"/>
        </w:rPr>
        <w:t>2.5在投标文件的审查、澄清、评价和比较以及授予合同过程中，投标单位对招标单位和评标委员会成员施加影响的任何行为，都将导致取消其中标资格。</w:t>
      </w:r>
    </w:p>
    <w:p>
      <w:pPr>
        <w:spacing w:line="312" w:lineRule="auto"/>
        <w:ind w:firstLine="420" w:firstLineChars="200"/>
        <w:jc w:val="left"/>
        <w:rPr>
          <w:rFonts w:ascii="宋体"/>
          <w:szCs w:val="21"/>
        </w:rPr>
      </w:pPr>
    </w:p>
    <w:p>
      <w:pPr>
        <w:spacing w:before="156" w:beforeLines="50" w:after="156" w:afterLines="50" w:line="312" w:lineRule="auto"/>
        <w:jc w:val="center"/>
        <w:outlineLvl w:val="1"/>
        <w:rPr>
          <w:rFonts w:ascii="宋体"/>
          <w:b/>
          <w:sz w:val="28"/>
          <w:szCs w:val="28"/>
        </w:rPr>
        <w:sectPr>
          <w:footerReference r:id="rId8" w:type="default"/>
          <w:pgSz w:w="11906" w:h="16838"/>
          <w:pgMar w:top="1440" w:right="1486" w:bottom="1440" w:left="1800" w:header="851" w:footer="992" w:gutter="0"/>
          <w:pgNumType w:start="1"/>
          <w:cols w:space="720" w:num="1"/>
          <w:docGrid w:type="lines" w:linePitch="312" w:charSpace="0"/>
        </w:sectPr>
      </w:pPr>
      <w:bookmarkStart w:id="92" w:name="_Toc362983802"/>
    </w:p>
    <w:p>
      <w:pPr>
        <w:spacing w:line="312" w:lineRule="auto"/>
        <w:jc w:val="center"/>
        <w:outlineLvl w:val="1"/>
        <w:rPr>
          <w:rFonts w:ascii="宋体"/>
          <w:b/>
          <w:sz w:val="28"/>
          <w:szCs w:val="28"/>
        </w:rPr>
      </w:pPr>
      <w:bookmarkStart w:id="93" w:name="_Toc20742"/>
      <w:bookmarkStart w:id="94" w:name="_Toc20801"/>
      <w:bookmarkStart w:id="95" w:name="_Toc449028878"/>
      <w:r>
        <w:rPr>
          <w:rFonts w:hint="eastAsia" w:ascii="宋体"/>
          <w:b/>
          <w:sz w:val="28"/>
          <w:szCs w:val="28"/>
        </w:rPr>
        <w:t>二  投标文件初审</w:t>
      </w:r>
      <w:bookmarkEnd w:id="92"/>
      <w:bookmarkEnd w:id="93"/>
      <w:bookmarkEnd w:id="94"/>
      <w:bookmarkEnd w:id="95"/>
    </w:p>
    <w:p>
      <w:pPr>
        <w:spacing w:line="312" w:lineRule="auto"/>
        <w:ind w:firstLine="310" w:firstLineChars="147"/>
        <w:rPr>
          <w:rFonts w:ascii="宋体"/>
          <w:b/>
          <w:szCs w:val="21"/>
        </w:rPr>
      </w:pPr>
      <w:r>
        <w:rPr>
          <w:rFonts w:hint="eastAsia" w:ascii="宋体"/>
          <w:b/>
          <w:szCs w:val="21"/>
        </w:rPr>
        <w:t>3.资格性审查:</w:t>
      </w:r>
    </w:p>
    <w:p>
      <w:pPr>
        <w:spacing w:line="312" w:lineRule="auto"/>
        <w:ind w:firstLine="308" w:firstLineChars="147"/>
        <w:rPr>
          <w:szCs w:val="21"/>
        </w:rPr>
      </w:pPr>
      <w:r>
        <w:rPr>
          <w:rFonts w:hint="eastAsia" w:ascii="宋体"/>
          <w:szCs w:val="21"/>
        </w:rPr>
        <w:t>3.1</w:t>
      </w:r>
      <w:r>
        <w:rPr>
          <w:rFonts w:hint="eastAsia"/>
          <w:szCs w:val="21"/>
        </w:rPr>
        <w:t>评审细则</w:t>
      </w:r>
    </w:p>
    <w:tbl>
      <w:tblPr>
        <w:tblStyle w:val="31"/>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00"/>
        <w:gridCol w:w="2562"/>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61" w:type="dxa"/>
            <w:vAlign w:val="center"/>
          </w:tcPr>
          <w:p>
            <w:pPr>
              <w:spacing w:line="312" w:lineRule="auto"/>
              <w:jc w:val="center"/>
            </w:pPr>
            <w:r>
              <w:rPr>
                <w:rFonts w:hint="eastAsia" w:ascii="黑体" w:eastAsia="黑体" w:cs="黑体"/>
                <w:b/>
                <w:bCs/>
                <w:szCs w:val="21"/>
              </w:rPr>
              <w:t>序号</w:t>
            </w:r>
          </w:p>
        </w:tc>
        <w:tc>
          <w:tcPr>
            <w:tcW w:w="3462" w:type="dxa"/>
            <w:gridSpan w:val="2"/>
            <w:vAlign w:val="center"/>
          </w:tcPr>
          <w:p>
            <w:pPr>
              <w:spacing w:line="312" w:lineRule="auto"/>
              <w:jc w:val="center"/>
            </w:pPr>
            <w:r>
              <w:rPr>
                <w:rFonts w:hint="eastAsia" w:ascii="宋体" w:hAnsi="宋体"/>
                <w:szCs w:val="21"/>
              </w:rPr>
              <w:t>评审因素</w:t>
            </w:r>
          </w:p>
        </w:tc>
        <w:tc>
          <w:tcPr>
            <w:tcW w:w="5016" w:type="dxa"/>
            <w:vAlign w:val="center"/>
          </w:tcPr>
          <w:p>
            <w:pPr>
              <w:spacing w:line="312" w:lineRule="auto"/>
              <w:jc w:val="center"/>
            </w:pPr>
            <w:r>
              <w:rPr>
                <w:rFonts w:hint="eastAsia"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61" w:type="dxa"/>
            <w:vMerge w:val="restart"/>
            <w:vAlign w:val="center"/>
          </w:tcPr>
          <w:p>
            <w:pPr>
              <w:spacing w:line="312" w:lineRule="auto"/>
              <w:jc w:val="center"/>
              <w:rPr>
                <w:rFonts w:ascii="宋体" w:hAnsi="宋体"/>
                <w:szCs w:val="21"/>
              </w:rPr>
            </w:pPr>
            <w:r>
              <w:rPr>
                <w:rFonts w:hint="eastAsia" w:ascii="宋体" w:hAnsi="宋体"/>
                <w:szCs w:val="21"/>
              </w:rPr>
              <w:t>1</w:t>
            </w:r>
          </w:p>
        </w:tc>
        <w:tc>
          <w:tcPr>
            <w:tcW w:w="900" w:type="dxa"/>
            <w:vMerge w:val="restart"/>
            <w:vAlign w:val="center"/>
          </w:tcPr>
          <w:p>
            <w:pPr>
              <w:spacing w:line="312" w:lineRule="auto"/>
              <w:jc w:val="center"/>
              <w:rPr>
                <w:rFonts w:ascii="宋体" w:hAnsi="宋体"/>
                <w:szCs w:val="21"/>
              </w:rPr>
            </w:pPr>
            <w:r>
              <w:rPr>
                <w:rFonts w:hint="eastAsia" w:ascii="宋体"/>
                <w:szCs w:val="21"/>
              </w:rPr>
              <w:t>重要要求</w:t>
            </w:r>
          </w:p>
        </w:tc>
        <w:tc>
          <w:tcPr>
            <w:tcW w:w="2562" w:type="dxa"/>
            <w:vAlign w:val="center"/>
          </w:tcPr>
          <w:p>
            <w:pPr>
              <w:spacing w:line="312" w:lineRule="auto"/>
              <w:rPr>
                <w:rFonts w:ascii="宋体" w:hAnsi="宋体"/>
                <w:szCs w:val="21"/>
              </w:rPr>
            </w:pPr>
            <w:r>
              <w:rPr>
                <w:rFonts w:hint="eastAsia"/>
              </w:rPr>
              <w:t>（1）身份证明或授权委托书</w:t>
            </w:r>
          </w:p>
        </w:tc>
        <w:tc>
          <w:tcPr>
            <w:tcW w:w="5016" w:type="dxa"/>
            <w:vAlign w:val="center"/>
          </w:tcPr>
          <w:p>
            <w:pPr>
              <w:spacing w:line="312" w:lineRule="auto"/>
              <w:jc w:val="left"/>
              <w:rPr>
                <w:rFonts w:ascii="宋体"/>
                <w:b/>
                <w:szCs w:val="21"/>
              </w:rPr>
            </w:pPr>
            <w:r>
              <w:rPr>
                <w:rFonts w:hint="eastAsia" w:ascii="宋体"/>
                <w:b/>
                <w:szCs w:val="21"/>
              </w:rPr>
              <w:t>评审核验标书：</w:t>
            </w:r>
          </w:p>
          <w:p>
            <w:pPr>
              <w:spacing w:line="312" w:lineRule="auto"/>
              <w:jc w:val="left"/>
              <w:rPr>
                <w:rFonts w:ascii="宋体"/>
                <w:szCs w:val="21"/>
              </w:rPr>
            </w:pPr>
            <w:r>
              <w:rPr>
                <w:rFonts w:hint="eastAsia" w:ascii="宋体"/>
                <w:szCs w:val="21"/>
              </w:rPr>
              <w:t>法定代表人身份证明原件及其有效身份证复印件【或法人代表授权委托书原件及其有效身份证复印件】（格式见附件）和项目负责人身份证复印件（还须提供项目负责人、委托代理人联系方式及微信账号）；</w:t>
            </w:r>
          </w:p>
          <w:p>
            <w:pPr>
              <w:spacing w:line="312" w:lineRule="auto"/>
              <w:jc w:val="left"/>
              <w:rPr>
                <w:rFonts w:ascii="宋体" w:hAnsi="宋体"/>
                <w:szCs w:val="21"/>
              </w:rPr>
            </w:pPr>
            <w:r>
              <w:rPr>
                <w:rFonts w:hint="eastAsia" w:ascii="宋体" w:hAnsi="宋体" w:cs="宋体"/>
                <w:b/>
                <w:bCs/>
                <w:szCs w:val="21"/>
              </w:rPr>
              <w:t>（</w:t>
            </w:r>
            <w:r>
              <w:rPr>
                <w:rFonts w:hint="eastAsia" w:ascii="宋体"/>
                <w:b/>
                <w:bCs/>
                <w:szCs w:val="21"/>
              </w:rPr>
              <w:t>授权代理人和项目负责人可以为同一个人</w:t>
            </w: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61" w:type="dxa"/>
            <w:vMerge w:val="continue"/>
            <w:vAlign w:val="center"/>
          </w:tcPr>
          <w:p>
            <w:pPr>
              <w:spacing w:line="312" w:lineRule="auto"/>
              <w:jc w:val="center"/>
              <w:rPr>
                <w:rFonts w:ascii="宋体" w:hAnsi="宋体"/>
                <w:szCs w:val="21"/>
              </w:rPr>
            </w:pPr>
          </w:p>
        </w:tc>
        <w:tc>
          <w:tcPr>
            <w:tcW w:w="900" w:type="dxa"/>
            <w:vMerge w:val="continue"/>
            <w:vAlign w:val="center"/>
          </w:tcPr>
          <w:p>
            <w:pPr>
              <w:spacing w:line="312" w:lineRule="auto"/>
              <w:jc w:val="center"/>
              <w:rPr>
                <w:rFonts w:ascii="宋体"/>
                <w:szCs w:val="21"/>
              </w:rPr>
            </w:pPr>
          </w:p>
        </w:tc>
        <w:tc>
          <w:tcPr>
            <w:tcW w:w="2562" w:type="dxa"/>
            <w:vAlign w:val="center"/>
          </w:tcPr>
          <w:p>
            <w:pPr>
              <w:spacing w:line="312" w:lineRule="auto"/>
              <w:rPr>
                <w:rFonts w:ascii="宋体"/>
                <w:szCs w:val="21"/>
              </w:rPr>
            </w:pPr>
            <w:r>
              <w:rPr>
                <w:rFonts w:hint="eastAsia" w:ascii="宋体"/>
                <w:szCs w:val="21"/>
              </w:rPr>
              <w:t>（2）保证金缴纳情况</w:t>
            </w:r>
          </w:p>
        </w:tc>
        <w:tc>
          <w:tcPr>
            <w:tcW w:w="5016" w:type="dxa"/>
          </w:tcPr>
          <w:p>
            <w:pPr>
              <w:spacing w:line="312" w:lineRule="auto"/>
              <w:rPr>
                <w:rFonts w:ascii="宋体"/>
                <w:szCs w:val="21"/>
              </w:rPr>
            </w:pPr>
            <w:r>
              <w:rPr>
                <w:rFonts w:hint="eastAsia" w:ascii="宋体" w:hAnsi="宋体"/>
                <w:szCs w:val="21"/>
              </w:rPr>
              <w:t>按规定数额和时间缴纳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61" w:type="dxa"/>
            <w:vMerge w:val="restart"/>
            <w:vAlign w:val="center"/>
          </w:tcPr>
          <w:p>
            <w:pPr>
              <w:spacing w:line="312" w:lineRule="auto"/>
              <w:jc w:val="center"/>
              <w:rPr>
                <w:rFonts w:ascii="宋体" w:hAnsi="宋体"/>
                <w:szCs w:val="21"/>
              </w:rPr>
            </w:pPr>
            <w:r>
              <w:rPr>
                <w:rFonts w:hint="eastAsia" w:ascii="宋体" w:hAnsi="宋体"/>
                <w:szCs w:val="21"/>
              </w:rPr>
              <w:t>2</w:t>
            </w:r>
          </w:p>
        </w:tc>
        <w:tc>
          <w:tcPr>
            <w:tcW w:w="900" w:type="dxa"/>
            <w:vMerge w:val="restart"/>
            <w:vAlign w:val="center"/>
          </w:tcPr>
          <w:p>
            <w:pPr>
              <w:spacing w:line="312" w:lineRule="auto"/>
              <w:rPr>
                <w:rFonts w:ascii="宋体" w:hAnsi="宋体"/>
                <w:szCs w:val="21"/>
              </w:rPr>
            </w:pPr>
            <w:r>
              <w:rPr>
                <w:rFonts w:hint="eastAsia" w:ascii="宋体" w:hAnsi="宋体"/>
                <w:szCs w:val="21"/>
              </w:rPr>
              <w:t>投标人应符合的基本资格条件</w:t>
            </w:r>
          </w:p>
        </w:tc>
        <w:tc>
          <w:tcPr>
            <w:tcW w:w="2562" w:type="dxa"/>
            <w:vAlign w:val="center"/>
          </w:tcPr>
          <w:p>
            <w:pPr>
              <w:spacing w:line="312" w:lineRule="auto"/>
              <w:rPr>
                <w:rFonts w:ascii="宋体" w:hAnsi="宋体"/>
                <w:szCs w:val="21"/>
              </w:rPr>
            </w:pPr>
            <w:r>
              <w:rPr>
                <w:rFonts w:hint="eastAsia" w:ascii="宋体" w:hAnsi="宋体"/>
                <w:szCs w:val="21"/>
              </w:rPr>
              <w:t>（3）具有独立承担民事责任的能力</w:t>
            </w:r>
          </w:p>
        </w:tc>
        <w:tc>
          <w:tcPr>
            <w:tcW w:w="5016" w:type="dxa"/>
          </w:tcPr>
          <w:p>
            <w:pPr>
              <w:spacing w:line="312" w:lineRule="auto"/>
              <w:jc w:val="left"/>
              <w:rPr>
                <w:rFonts w:ascii="宋体"/>
                <w:b/>
                <w:szCs w:val="21"/>
              </w:rPr>
            </w:pPr>
            <w:r>
              <w:rPr>
                <w:rFonts w:hint="eastAsia" w:ascii="宋体"/>
                <w:b/>
                <w:szCs w:val="21"/>
              </w:rPr>
              <w:t>评审核验标书：</w:t>
            </w:r>
          </w:p>
          <w:p>
            <w:pPr>
              <w:spacing w:line="312" w:lineRule="auto"/>
              <w:rPr>
                <w:rFonts w:ascii="宋体"/>
                <w:szCs w:val="21"/>
              </w:rPr>
            </w:pPr>
            <w:r>
              <w:rPr>
                <w:rFonts w:hint="eastAsia" w:ascii="宋体"/>
                <w:szCs w:val="21"/>
              </w:rPr>
              <w:t>投标人有效的营业执照复印件；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561" w:type="dxa"/>
            <w:vMerge w:val="continue"/>
            <w:vAlign w:val="center"/>
          </w:tcPr>
          <w:p>
            <w:pPr>
              <w:spacing w:line="312" w:lineRule="auto"/>
              <w:jc w:val="center"/>
              <w:rPr>
                <w:rFonts w:ascii="宋体" w:hAnsi="宋体"/>
                <w:szCs w:val="21"/>
              </w:rPr>
            </w:pPr>
          </w:p>
        </w:tc>
        <w:tc>
          <w:tcPr>
            <w:tcW w:w="900" w:type="dxa"/>
            <w:vMerge w:val="continue"/>
            <w:vAlign w:val="center"/>
          </w:tcPr>
          <w:p>
            <w:pPr>
              <w:spacing w:line="312" w:lineRule="auto"/>
              <w:rPr>
                <w:rFonts w:ascii="宋体" w:hAnsi="宋体"/>
                <w:szCs w:val="21"/>
              </w:rPr>
            </w:pPr>
          </w:p>
        </w:tc>
        <w:tc>
          <w:tcPr>
            <w:tcW w:w="2562" w:type="dxa"/>
            <w:vAlign w:val="center"/>
          </w:tcPr>
          <w:p>
            <w:pPr>
              <w:spacing w:line="312" w:lineRule="auto"/>
              <w:rPr>
                <w:rFonts w:ascii="宋体" w:hAnsi="宋体" w:cs="宋体"/>
                <w:b/>
                <w:szCs w:val="21"/>
              </w:rPr>
            </w:pPr>
            <w:r>
              <w:rPr>
                <w:rFonts w:hint="eastAsia" w:ascii="宋体" w:hAnsi="宋体" w:cs="仿宋_GB2312"/>
                <w:szCs w:val="21"/>
                <w:lang w:val="zh-CN"/>
              </w:rPr>
              <w:t>（</w:t>
            </w:r>
            <w:r>
              <w:rPr>
                <w:rFonts w:hint="eastAsia" w:ascii="宋体" w:hAnsi="宋体" w:cs="仿宋_GB2312"/>
                <w:szCs w:val="21"/>
              </w:rPr>
              <w:t>4</w:t>
            </w:r>
            <w:r>
              <w:rPr>
                <w:rFonts w:hint="eastAsia" w:ascii="宋体" w:hAnsi="宋体" w:cs="仿宋_GB2312"/>
                <w:szCs w:val="21"/>
                <w:lang w:val="zh-CN"/>
              </w:rPr>
              <w:t>）</w:t>
            </w:r>
            <w:r>
              <w:rPr>
                <w:rFonts w:hint="eastAsia" w:ascii="宋体" w:hAnsi="宋体"/>
                <w:szCs w:val="21"/>
              </w:rPr>
              <w:t>投标人资质证书</w:t>
            </w:r>
          </w:p>
        </w:tc>
        <w:tc>
          <w:tcPr>
            <w:tcW w:w="5016" w:type="dxa"/>
          </w:tcPr>
          <w:p>
            <w:pPr>
              <w:spacing w:line="312" w:lineRule="auto"/>
              <w:jc w:val="left"/>
              <w:rPr>
                <w:rFonts w:ascii="宋体"/>
                <w:b/>
                <w:szCs w:val="21"/>
              </w:rPr>
            </w:pPr>
            <w:r>
              <w:rPr>
                <w:rFonts w:hint="eastAsia" w:ascii="宋体"/>
                <w:b/>
                <w:szCs w:val="21"/>
              </w:rPr>
              <w:t>评审核验标书：</w:t>
            </w:r>
          </w:p>
          <w:p>
            <w:pPr>
              <w:spacing w:line="312" w:lineRule="auto"/>
              <w:rPr>
                <w:rFonts w:ascii="宋体"/>
                <w:b/>
                <w:szCs w:val="21"/>
              </w:rPr>
            </w:pPr>
            <w:r>
              <w:rPr>
                <w:rFonts w:hint="eastAsia" w:ascii="宋体" w:hAnsi="宋体"/>
                <w:bCs/>
                <w:szCs w:val="21"/>
              </w:rPr>
              <w:t>投标人有效的会计师事务所执业证书和从事证券业务许可证复印件；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1" w:type="dxa"/>
            <w:vMerge w:val="continue"/>
            <w:vAlign w:val="center"/>
          </w:tcPr>
          <w:p>
            <w:pPr>
              <w:spacing w:line="312" w:lineRule="auto"/>
              <w:jc w:val="center"/>
              <w:rPr>
                <w:rFonts w:ascii="宋体" w:hAnsi="宋体"/>
                <w:szCs w:val="21"/>
              </w:rPr>
            </w:pPr>
          </w:p>
        </w:tc>
        <w:tc>
          <w:tcPr>
            <w:tcW w:w="900" w:type="dxa"/>
            <w:vMerge w:val="continue"/>
            <w:vAlign w:val="center"/>
          </w:tcPr>
          <w:p>
            <w:pPr>
              <w:spacing w:line="312" w:lineRule="auto"/>
              <w:rPr>
                <w:rFonts w:ascii="宋体" w:hAnsi="宋体"/>
                <w:szCs w:val="21"/>
              </w:rPr>
            </w:pPr>
          </w:p>
        </w:tc>
        <w:tc>
          <w:tcPr>
            <w:tcW w:w="2562" w:type="dxa"/>
            <w:vAlign w:val="center"/>
          </w:tcPr>
          <w:p>
            <w:pPr>
              <w:spacing w:line="312" w:lineRule="auto"/>
              <w:rPr>
                <w:rFonts w:ascii="宋体" w:hAnsi="宋体" w:cs="宋体"/>
                <w:b/>
                <w:szCs w:val="21"/>
              </w:rPr>
            </w:pPr>
            <w:r>
              <w:rPr>
                <w:rFonts w:hint="eastAsia" w:ascii="宋体" w:hAnsi="宋体" w:cs="仿宋_GB2312"/>
                <w:szCs w:val="21"/>
                <w:lang w:val="zh-CN"/>
              </w:rPr>
              <w:t>（</w:t>
            </w:r>
            <w:r>
              <w:rPr>
                <w:rFonts w:hint="eastAsia" w:ascii="宋体" w:hAnsi="宋体" w:cs="仿宋_GB2312"/>
                <w:szCs w:val="21"/>
              </w:rPr>
              <w:t>5</w:t>
            </w:r>
            <w:r>
              <w:rPr>
                <w:rFonts w:hint="eastAsia" w:ascii="宋体" w:hAnsi="宋体" w:cs="仿宋_GB2312"/>
                <w:szCs w:val="21"/>
                <w:lang w:val="zh-CN"/>
              </w:rPr>
              <w:t>）</w:t>
            </w:r>
            <w:r>
              <w:rPr>
                <w:rFonts w:hint="eastAsia" w:ascii="宋体"/>
                <w:szCs w:val="21"/>
              </w:rPr>
              <w:t>项目负责人证书</w:t>
            </w:r>
          </w:p>
        </w:tc>
        <w:tc>
          <w:tcPr>
            <w:tcW w:w="5016" w:type="dxa"/>
          </w:tcPr>
          <w:p>
            <w:pPr>
              <w:spacing w:line="312" w:lineRule="auto"/>
              <w:jc w:val="left"/>
              <w:rPr>
                <w:rFonts w:ascii="宋体"/>
                <w:b/>
                <w:szCs w:val="21"/>
              </w:rPr>
            </w:pPr>
            <w:r>
              <w:rPr>
                <w:rFonts w:hint="eastAsia" w:ascii="宋体"/>
                <w:b/>
                <w:szCs w:val="21"/>
              </w:rPr>
              <w:t>评审核验标书：</w:t>
            </w:r>
          </w:p>
          <w:p>
            <w:pPr>
              <w:spacing w:line="312" w:lineRule="auto"/>
              <w:rPr>
                <w:rFonts w:ascii="宋体"/>
                <w:b/>
                <w:szCs w:val="21"/>
              </w:rPr>
            </w:pPr>
            <w:r>
              <w:rPr>
                <w:rFonts w:hint="eastAsia" w:ascii="宋体"/>
                <w:szCs w:val="21"/>
              </w:rPr>
              <w:t>全国注册会计师资格证书</w:t>
            </w:r>
            <w:r>
              <w:rPr>
                <w:rFonts w:hint="eastAsia" w:ascii="宋体" w:hAnsi="宋体"/>
                <w:bCs/>
                <w:szCs w:val="21"/>
              </w:rPr>
              <w:t>复印件。</w:t>
            </w:r>
          </w:p>
        </w:tc>
      </w:tr>
    </w:tbl>
    <w:p>
      <w:pPr>
        <w:spacing w:line="312" w:lineRule="auto"/>
        <w:ind w:firstLine="310" w:firstLineChars="147"/>
        <w:rPr>
          <w:rFonts w:ascii="宋体"/>
          <w:b/>
          <w:szCs w:val="21"/>
        </w:rPr>
      </w:pPr>
      <w:r>
        <w:rPr>
          <w:rFonts w:hint="eastAsia" w:ascii="宋体"/>
          <w:b/>
          <w:szCs w:val="21"/>
        </w:rPr>
        <w:t>4.符合性审查</w:t>
      </w:r>
    </w:p>
    <w:p>
      <w:pPr>
        <w:spacing w:line="312" w:lineRule="auto"/>
        <w:ind w:firstLine="315" w:firstLineChars="150"/>
        <w:rPr>
          <w:rFonts w:ascii="宋体"/>
          <w:szCs w:val="21"/>
        </w:rPr>
      </w:pPr>
      <w:r>
        <w:rPr>
          <w:rFonts w:hint="eastAsia" w:ascii="宋体"/>
          <w:szCs w:val="21"/>
        </w:rPr>
        <w:t>4．1评审细则</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vAlign w:val="center"/>
          </w:tcPr>
          <w:p>
            <w:pPr>
              <w:spacing w:line="312" w:lineRule="auto"/>
              <w:jc w:val="center"/>
              <w:rPr>
                <w:rFonts w:ascii="黑体" w:eastAsia="黑体" w:cs="黑体"/>
                <w:b/>
                <w:bCs/>
                <w:szCs w:val="21"/>
              </w:rPr>
            </w:pPr>
            <w:r>
              <w:rPr>
                <w:rFonts w:hint="eastAsia" w:ascii="黑体" w:eastAsia="黑体" w:cs="黑体"/>
                <w:b/>
                <w:bCs/>
                <w:szCs w:val="21"/>
              </w:rPr>
              <w:t>序号</w:t>
            </w:r>
          </w:p>
        </w:tc>
        <w:tc>
          <w:tcPr>
            <w:tcW w:w="4135" w:type="dxa"/>
            <w:gridSpan w:val="2"/>
            <w:vAlign w:val="center"/>
          </w:tcPr>
          <w:p>
            <w:pPr>
              <w:spacing w:line="312" w:lineRule="auto"/>
              <w:jc w:val="center"/>
              <w:rPr>
                <w:rFonts w:ascii="黑体" w:eastAsia="黑体" w:cs="黑体"/>
                <w:b/>
                <w:bCs/>
                <w:szCs w:val="21"/>
              </w:rPr>
            </w:pPr>
            <w:r>
              <w:rPr>
                <w:rFonts w:hint="eastAsia" w:ascii="黑体" w:eastAsia="黑体" w:cs="黑体"/>
                <w:b/>
                <w:bCs/>
                <w:szCs w:val="21"/>
              </w:rPr>
              <w:t>审查因素</w:t>
            </w:r>
          </w:p>
        </w:tc>
        <w:tc>
          <w:tcPr>
            <w:tcW w:w="4173" w:type="dxa"/>
            <w:vAlign w:val="center"/>
          </w:tcPr>
          <w:p>
            <w:pPr>
              <w:spacing w:line="312" w:lineRule="auto"/>
              <w:jc w:val="center"/>
              <w:rPr>
                <w:rFonts w:ascii="黑体" w:eastAsia="黑体" w:cs="黑体"/>
                <w:b/>
                <w:bCs/>
                <w:szCs w:val="21"/>
              </w:rPr>
            </w:pPr>
            <w:r>
              <w:rPr>
                <w:rFonts w:hint="eastAsia" w:ascii="黑体" w:eastAsia="黑体" w:cs="黑体"/>
                <w:b/>
                <w:bCs/>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31" w:type="dxa"/>
            <w:vMerge w:val="restart"/>
            <w:vAlign w:val="center"/>
          </w:tcPr>
          <w:p>
            <w:pPr>
              <w:spacing w:line="312" w:lineRule="auto"/>
              <w:jc w:val="center"/>
              <w:rPr>
                <w:rFonts w:ascii="宋体"/>
                <w:szCs w:val="21"/>
              </w:rPr>
            </w:pPr>
            <w:r>
              <w:rPr>
                <w:rFonts w:hint="eastAsia" w:ascii="宋体"/>
                <w:szCs w:val="21"/>
              </w:rPr>
              <w:t>1</w:t>
            </w:r>
          </w:p>
        </w:tc>
        <w:tc>
          <w:tcPr>
            <w:tcW w:w="1204" w:type="dxa"/>
            <w:vMerge w:val="restart"/>
            <w:vAlign w:val="center"/>
          </w:tcPr>
          <w:p>
            <w:pPr>
              <w:spacing w:line="312" w:lineRule="auto"/>
              <w:rPr>
                <w:rFonts w:ascii="宋体" w:cs="仿宋_GB2312"/>
                <w:szCs w:val="21"/>
                <w:lang w:val="zh-CN"/>
              </w:rPr>
            </w:pPr>
            <w:r>
              <w:rPr>
                <w:rFonts w:hint="eastAsia" w:ascii="宋体" w:cs="仿宋_GB2312"/>
                <w:szCs w:val="21"/>
                <w:lang w:val="zh-CN"/>
              </w:rPr>
              <w:t>标书的有效 性</w:t>
            </w: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（1）投标文件签署</w:t>
            </w:r>
          </w:p>
        </w:tc>
        <w:tc>
          <w:tcPr>
            <w:tcW w:w="4173" w:type="dxa"/>
            <w:vAlign w:val="center"/>
          </w:tcPr>
          <w:p>
            <w:pPr>
              <w:spacing w:line="312" w:lineRule="auto"/>
              <w:rPr>
                <w:rFonts w:ascii="宋体"/>
                <w:lang w:val="zh-CN"/>
              </w:rPr>
            </w:pPr>
            <w:r>
              <w:rPr>
                <w:rFonts w:hint="eastAsia" w:ascii="宋体"/>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（2）投标方案</w:t>
            </w:r>
          </w:p>
        </w:tc>
        <w:tc>
          <w:tcPr>
            <w:tcW w:w="4173" w:type="dxa"/>
            <w:vAlign w:val="center"/>
          </w:tcPr>
          <w:p>
            <w:pPr>
              <w:spacing w:line="312" w:lineRule="auto"/>
              <w:rPr>
                <w:rFonts w:ascii="宋体" w:cs="宋体"/>
                <w:szCs w:val="21"/>
              </w:rPr>
            </w:pPr>
            <w:r>
              <w:rPr>
                <w:rFonts w:hint="eastAsia" w:ascii="宋体" w:hAnsi="宋体" w:cs="仿宋_GB2312"/>
                <w:szCs w:val="21"/>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cs="仿宋_GB2312"/>
                <w:szCs w:val="21"/>
                <w:lang w:val="zh-CN"/>
              </w:rPr>
            </w:pPr>
            <w:r>
              <w:rPr>
                <w:rFonts w:hint="eastAsia" w:ascii="宋体"/>
                <w:szCs w:val="21"/>
              </w:rPr>
              <w:t>（3）报价唯一</w:t>
            </w:r>
          </w:p>
        </w:tc>
        <w:tc>
          <w:tcPr>
            <w:tcW w:w="4173" w:type="dxa"/>
            <w:vAlign w:val="center"/>
          </w:tcPr>
          <w:p>
            <w:pPr>
              <w:spacing w:line="312" w:lineRule="auto"/>
              <w:rPr>
                <w:rFonts w:ascii="宋体" w:cs="宋体"/>
                <w:szCs w:val="21"/>
              </w:rPr>
            </w:pPr>
            <w:r>
              <w:rPr>
                <w:rFonts w:hint="eastAsia" w:ascii="宋体" w:cs="仿宋_GB2312"/>
                <w:szCs w:val="21"/>
                <w:lang w:val="zh-CN"/>
              </w:rPr>
              <w:t>只能在限价范围内报价，</w:t>
            </w:r>
            <w:r>
              <w:rPr>
                <w:rFonts w:hint="eastAsia" w:ascii="宋体"/>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szCs w:val="21"/>
              </w:rPr>
            </w:pPr>
            <w:r>
              <w:rPr>
                <w:rFonts w:hint="eastAsia" w:ascii="宋体"/>
                <w:szCs w:val="21"/>
              </w:rPr>
              <w:t xml:space="preserve"> (4) 投标文件的有效期</w:t>
            </w:r>
          </w:p>
        </w:tc>
        <w:tc>
          <w:tcPr>
            <w:tcW w:w="4173" w:type="dxa"/>
            <w:vAlign w:val="center"/>
          </w:tcPr>
          <w:p>
            <w:pPr>
              <w:spacing w:line="312" w:lineRule="auto"/>
              <w:rPr>
                <w:rFonts w:ascii="宋体" w:cs="仿宋_GB2312"/>
                <w:szCs w:val="21"/>
                <w:lang w:val="zh-CN"/>
              </w:rPr>
            </w:pPr>
            <w:r>
              <w:rPr>
                <w:rFonts w:hint="eastAsia" w:ascii="宋体" w:cs="仿宋_GB2312"/>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1" w:type="dxa"/>
            <w:vMerge w:val="restart"/>
            <w:vAlign w:val="center"/>
          </w:tcPr>
          <w:p>
            <w:pPr>
              <w:spacing w:line="312" w:lineRule="auto"/>
              <w:jc w:val="center"/>
              <w:rPr>
                <w:rFonts w:ascii="宋体"/>
                <w:szCs w:val="21"/>
              </w:rPr>
            </w:pPr>
            <w:r>
              <w:rPr>
                <w:rFonts w:hint="eastAsia" w:ascii="宋体"/>
                <w:szCs w:val="21"/>
              </w:rPr>
              <w:t>2</w:t>
            </w:r>
          </w:p>
        </w:tc>
        <w:tc>
          <w:tcPr>
            <w:tcW w:w="1204" w:type="dxa"/>
            <w:vMerge w:val="restart"/>
            <w:vAlign w:val="center"/>
          </w:tcPr>
          <w:p>
            <w:pPr>
              <w:spacing w:line="312" w:lineRule="auto"/>
              <w:rPr>
                <w:rFonts w:ascii="宋体" w:cs="仿宋_GB2312"/>
                <w:szCs w:val="21"/>
                <w:lang w:val="zh-CN"/>
              </w:rPr>
            </w:pPr>
            <w:r>
              <w:rPr>
                <w:rFonts w:hint="eastAsia" w:ascii="宋体" w:cs="仿宋_GB2312"/>
                <w:szCs w:val="21"/>
                <w:lang w:val="zh-CN"/>
              </w:rPr>
              <w:t>标书的完整 性</w:t>
            </w:r>
          </w:p>
        </w:tc>
        <w:tc>
          <w:tcPr>
            <w:tcW w:w="2931" w:type="dxa"/>
            <w:vAlign w:val="center"/>
          </w:tcPr>
          <w:p>
            <w:pPr>
              <w:spacing w:line="312" w:lineRule="auto"/>
              <w:rPr>
                <w:rFonts w:ascii="宋体" w:cs="宋体"/>
                <w:szCs w:val="21"/>
              </w:rPr>
            </w:pPr>
            <w:r>
              <w:rPr>
                <w:rFonts w:hint="eastAsia" w:ascii="宋体" w:cs="仿宋_GB2312"/>
                <w:szCs w:val="21"/>
                <w:lang w:val="zh-CN"/>
              </w:rPr>
              <w:t>（5）投标文件份数</w:t>
            </w:r>
          </w:p>
        </w:tc>
        <w:tc>
          <w:tcPr>
            <w:tcW w:w="4173" w:type="dxa"/>
            <w:vAlign w:val="center"/>
          </w:tcPr>
          <w:p>
            <w:pPr>
              <w:spacing w:line="312" w:lineRule="auto"/>
              <w:rPr>
                <w:rFonts w:ascii="宋体" w:cs="宋体"/>
                <w:szCs w:val="21"/>
              </w:rPr>
            </w:pPr>
            <w:r>
              <w:rPr>
                <w:rFonts w:hint="eastAsia" w:ascii="宋体" w:hAnsi="宋体" w:cs="宋体"/>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（6）投标文件形式内容</w:t>
            </w:r>
          </w:p>
        </w:tc>
        <w:tc>
          <w:tcPr>
            <w:tcW w:w="4173" w:type="dxa"/>
            <w:vAlign w:val="center"/>
          </w:tcPr>
          <w:p>
            <w:pPr>
              <w:spacing w:line="312" w:lineRule="auto"/>
              <w:rPr>
                <w:rFonts w:ascii="宋体" w:cs="仿宋_GB2312"/>
                <w:szCs w:val="21"/>
                <w:lang w:val="zh-CN"/>
              </w:rPr>
            </w:pPr>
            <w:r>
              <w:rPr>
                <w:rFonts w:hint="eastAsia" w:ascii="宋体" w:cs="仿宋_GB2312"/>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731" w:type="dxa"/>
            <w:vMerge w:val="restart"/>
            <w:vAlign w:val="center"/>
          </w:tcPr>
          <w:p>
            <w:pPr>
              <w:spacing w:line="312" w:lineRule="auto"/>
              <w:jc w:val="center"/>
              <w:rPr>
                <w:rFonts w:ascii="宋体"/>
                <w:szCs w:val="21"/>
              </w:rPr>
            </w:pPr>
            <w:r>
              <w:rPr>
                <w:rFonts w:hint="eastAsia" w:ascii="宋体"/>
                <w:szCs w:val="21"/>
              </w:rPr>
              <w:t>3</w:t>
            </w:r>
          </w:p>
        </w:tc>
        <w:tc>
          <w:tcPr>
            <w:tcW w:w="1204" w:type="dxa"/>
            <w:vMerge w:val="restart"/>
            <w:vAlign w:val="center"/>
          </w:tcPr>
          <w:p>
            <w:pPr>
              <w:spacing w:line="312" w:lineRule="auto"/>
              <w:jc w:val="center"/>
              <w:rPr>
                <w:rFonts w:ascii="宋体" w:cs="仿宋_GB2312"/>
                <w:szCs w:val="21"/>
                <w:lang w:val="zh-CN"/>
              </w:rPr>
            </w:pPr>
            <w:r>
              <w:rPr>
                <w:rFonts w:hint="eastAsia" w:ascii="宋体" w:cs="仿宋_GB2312"/>
                <w:szCs w:val="21"/>
                <w:lang w:val="zh-CN"/>
              </w:rPr>
              <w:t>标书的响应程度</w:t>
            </w: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（7）技术参数响应程度</w:t>
            </w:r>
          </w:p>
        </w:tc>
        <w:tc>
          <w:tcPr>
            <w:tcW w:w="4173" w:type="dxa"/>
            <w:vAlign w:val="center"/>
          </w:tcPr>
          <w:p>
            <w:pPr>
              <w:spacing w:line="312" w:lineRule="auto"/>
              <w:rPr>
                <w:rFonts w:ascii="宋体" w:cs="仿宋_GB2312"/>
                <w:szCs w:val="21"/>
                <w:lang w:val="zh-CN"/>
              </w:rPr>
            </w:pPr>
            <w:r>
              <w:rPr>
                <w:rFonts w:hint="eastAsia" w:ascii="宋体" w:cs="仿宋_GB2312"/>
                <w:szCs w:val="21"/>
                <w:lang w:val="zh-CN"/>
              </w:rPr>
              <w:t>满足招标文件的要求。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31" w:type="dxa"/>
            <w:vMerge w:val="continue"/>
            <w:vAlign w:val="center"/>
          </w:tcPr>
          <w:p>
            <w:pPr>
              <w:spacing w:line="312" w:lineRule="auto"/>
            </w:pPr>
          </w:p>
        </w:tc>
        <w:tc>
          <w:tcPr>
            <w:tcW w:w="1204" w:type="dxa"/>
            <w:vMerge w:val="continue"/>
            <w:vAlign w:val="center"/>
          </w:tcPr>
          <w:p>
            <w:pPr>
              <w:spacing w:line="312" w:lineRule="auto"/>
            </w:pPr>
          </w:p>
        </w:tc>
        <w:tc>
          <w:tcPr>
            <w:tcW w:w="2931" w:type="dxa"/>
            <w:vAlign w:val="center"/>
          </w:tcPr>
          <w:p>
            <w:pPr>
              <w:spacing w:line="312" w:lineRule="auto"/>
              <w:rPr>
                <w:rFonts w:ascii="宋体" w:cs="仿宋_GB2312"/>
                <w:szCs w:val="21"/>
                <w:lang w:val="zh-CN"/>
              </w:rPr>
            </w:pPr>
            <w:r>
              <w:rPr>
                <w:rFonts w:hint="eastAsia" w:ascii="宋体" w:cs="仿宋_GB2312"/>
                <w:szCs w:val="21"/>
                <w:lang w:val="zh-CN"/>
              </w:rPr>
              <w:t>（8）商务条款响应程度</w:t>
            </w:r>
          </w:p>
        </w:tc>
        <w:tc>
          <w:tcPr>
            <w:tcW w:w="4173" w:type="dxa"/>
            <w:vAlign w:val="center"/>
          </w:tcPr>
          <w:p>
            <w:pPr>
              <w:spacing w:line="312" w:lineRule="auto"/>
              <w:rPr>
                <w:rFonts w:ascii="宋体" w:cs="仿宋_GB2312"/>
                <w:szCs w:val="21"/>
                <w:lang w:val="zh-CN"/>
              </w:rPr>
            </w:pPr>
            <w:r>
              <w:rPr>
                <w:rFonts w:hint="eastAsia" w:ascii="宋体" w:cs="仿宋_GB2312"/>
                <w:szCs w:val="21"/>
                <w:lang w:val="zh-CN"/>
              </w:rPr>
              <w:t>响应招标文件要求。</w:t>
            </w:r>
          </w:p>
        </w:tc>
      </w:tr>
    </w:tbl>
    <w:p>
      <w:pPr>
        <w:spacing w:line="400" w:lineRule="exact"/>
        <w:ind w:firstLine="506" w:firstLineChars="241"/>
        <w:rPr>
          <w:rFonts w:ascii="宋体" w:hAnsi="宋体"/>
          <w:szCs w:val="21"/>
        </w:rPr>
      </w:pPr>
      <w:bookmarkStart w:id="96" w:name="_Toc449028879"/>
      <w:bookmarkStart w:id="97" w:name="_Toc362983803"/>
      <w:r>
        <w:rPr>
          <w:rFonts w:hint="eastAsia" w:ascii="宋体" w:hAnsi="宋体"/>
          <w:szCs w:val="21"/>
        </w:rPr>
        <w:t>4.2评委会判定投标文件的响应性只根据投标文件本身的内容，而不寻求外部的     证据，但投标有不真实不正确的内容时除外。</w:t>
      </w:r>
    </w:p>
    <w:p>
      <w:pPr>
        <w:spacing w:line="400" w:lineRule="exact"/>
        <w:ind w:firstLine="506" w:firstLineChars="241"/>
        <w:rPr>
          <w:rFonts w:ascii="宋体" w:hAnsi="宋体"/>
          <w:szCs w:val="21"/>
        </w:rPr>
      </w:pPr>
      <w:r>
        <w:rPr>
          <w:rFonts w:hint="eastAsia" w:ascii="宋体" w:hAnsi="宋体"/>
          <w:szCs w:val="21"/>
        </w:rPr>
        <w:t>4.3如果投标文件实质上没有响应招标文件的要求，评委会将予以拒绝，投标人不得通过修正或撤销不符合要求的偏离或保留，而使其投标成为实质上响应的投标。</w:t>
      </w:r>
    </w:p>
    <w:p>
      <w:pPr>
        <w:spacing w:line="400" w:lineRule="exact"/>
        <w:ind w:firstLine="506" w:firstLineChars="241"/>
        <w:rPr>
          <w:rFonts w:ascii="宋体" w:hAnsi="宋体"/>
          <w:szCs w:val="21"/>
        </w:rPr>
      </w:pPr>
      <w:r>
        <w:rPr>
          <w:rFonts w:hint="eastAsia" w:ascii="宋体" w:hAnsi="宋体"/>
          <w:szCs w:val="21"/>
        </w:rPr>
        <w:t>4.4投标人可在现场20分钟内对评标委员会的评审结论提出异议，评标委员会根据招标文件及有关规定对投标人的异议进行复议</w:t>
      </w:r>
    </w:p>
    <w:p>
      <w:pPr>
        <w:spacing w:line="360" w:lineRule="exact"/>
        <w:ind w:firstLine="420" w:firstLineChars="200"/>
        <w:rPr>
          <w:rFonts w:ascii="宋体" w:hAnsi="宋体"/>
          <w:szCs w:val="21"/>
        </w:rPr>
      </w:pPr>
      <w:r>
        <w:rPr>
          <w:rFonts w:hint="eastAsia" w:ascii="宋体" w:hAnsi="宋体"/>
          <w:szCs w:val="21"/>
        </w:rPr>
        <w:t xml:space="preserve"> 4.5只有通过初审的投标人才能进入下一步评标程序。</w:t>
      </w:r>
    </w:p>
    <w:p>
      <w:pPr>
        <w:spacing w:line="312" w:lineRule="auto"/>
        <w:jc w:val="center"/>
        <w:outlineLvl w:val="1"/>
        <w:rPr>
          <w:rFonts w:ascii="宋体"/>
          <w:b/>
          <w:sz w:val="28"/>
          <w:szCs w:val="28"/>
        </w:rPr>
      </w:pPr>
      <w:bookmarkStart w:id="98" w:name="_Toc19056"/>
      <w:bookmarkStart w:id="99" w:name="_Toc15113"/>
      <w:r>
        <w:rPr>
          <w:rFonts w:hint="eastAsia" w:ascii="宋体"/>
          <w:b/>
          <w:sz w:val="28"/>
          <w:szCs w:val="28"/>
        </w:rPr>
        <w:t>三  投标文件的澄清和补正</w:t>
      </w:r>
      <w:bookmarkEnd w:id="96"/>
      <w:bookmarkEnd w:id="97"/>
      <w:bookmarkEnd w:id="98"/>
      <w:bookmarkEnd w:id="99"/>
    </w:p>
    <w:p>
      <w:pPr>
        <w:spacing w:line="440" w:lineRule="exact"/>
        <w:ind w:firstLine="525" w:firstLineChars="250"/>
        <w:rPr>
          <w:rFonts w:ascii="宋体" w:hAnsi="宋体"/>
          <w:szCs w:val="21"/>
        </w:rPr>
      </w:pPr>
      <w:r>
        <w:rPr>
          <w:rFonts w:hint="eastAsia" w:ascii="宋体" w:hAnsi="宋体"/>
          <w:szCs w:val="21"/>
        </w:rPr>
        <w:t>5.1评审</w:t>
      </w:r>
      <w:r>
        <w:rPr>
          <w:rFonts w:ascii="宋体" w:hAnsi="宋体"/>
          <w:szCs w:val="21"/>
        </w:rPr>
        <w:t>阶段</w:t>
      </w:r>
      <w:r>
        <w:rPr>
          <w:rFonts w:hint="eastAsia" w:ascii="宋体" w:hAnsi="宋体"/>
          <w:szCs w:val="21"/>
        </w:rPr>
        <w:t>，评委可能会要求有关投标人就其</w:t>
      </w:r>
      <w:r>
        <w:rPr>
          <w:rFonts w:ascii="宋体" w:hAnsi="宋体"/>
          <w:szCs w:val="21"/>
        </w:rPr>
        <w:t>投标</w:t>
      </w:r>
      <w:r>
        <w:rPr>
          <w:rFonts w:hint="eastAsia" w:ascii="宋体" w:hAnsi="宋体"/>
          <w:szCs w:val="21"/>
        </w:rPr>
        <w:t>书</w:t>
      </w:r>
      <w:r>
        <w:rPr>
          <w:rFonts w:ascii="宋体" w:hAnsi="宋体"/>
          <w:szCs w:val="21"/>
        </w:rPr>
        <w:t>中含义不明确、同类问题表述不一致或者有明显文字和计算错误的内容</w:t>
      </w:r>
      <w:r>
        <w:rPr>
          <w:rFonts w:hint="eastAsia" w:ascii="宋体" w:hAnsi="宋体"/>
          <w:szCs w:val="21"/>
        </w:rPr>
        <w:t>进行澄清。</w:t>
      </w:r>
      <w:r>
        <w:rPr>
          <w:rFonts w:hint="eastAsia" w:ascii="宋体" w:hAnsi="宋体" w:cs="宋体"/>
          <w:b/>
          <w:bCs/>
          <w:szCs w:val="21"/>
        </w:rPr>
        <w:t>如因投标人未参加开标导致开评标过程中无法澄清、说明或补正的，视同投标人放弃该权利。</w:t>
      </w:r>
    </w:p>
    <w:p>
      <w:pPr>
        <w:spacing w:line="400" w:lineRule="exact"/>
        <w:ind w:firstLine="525" w:firstLineChars="250"/>
        <w:rPr>
          <w:rFonts w:ascii="宋体" w:hAnsi="宋体"/>
          <w:szCs w:val="21"/>
        </w:rPr>
      </w:pPr>
      <w:r>
        <w:rPr>
          <w:rFonts w:hint="eastAsia" w:ascii="宋体" w:hAnsi="宋体"/>
          <w:szCs w:val="21"/>
        </w:rPr>
        <w:t>5.2</w:t>
      </w:r>
      <w:r>
        <w:rPr>
          <w:rFonts w:ascii="宋体" w:hAnsi="宋体"/>
          <w:szCs w:val="21"/>
        </w:rPr>
        <w:t>投标人的澄清、说明或者补正应当采用书面形式，</w:t>
      </w:r>
      <w:r>
        <w:rPr>
          <w:rFonts w:hint="eastAsia" w:ascii="宋体" w:hAnsi="宋体"/>
          <w:szCs w:val="21"/>
        </w:rPr>
        <w:t>但</w:t>
      </w:r>
      <w:r>
        <w:rPr>
          <w:rFonts w:ascii="宋体" w:hAnsi="宋体"/>
          <w:szCs w:val="21"/>
        </w:rPr>
        <w:t>不得超出投标</w:t>
      </w:r>
      <w:r>
        <w:rPr>
          <w:rFonts w:hint="eastAsia" w:ascii="宋体" w:hAnsi="宋体"/>
          <w:szCs w:val="21"/>
        </w:rPr>
        <w:t>书</w:t>
      </w:r>
      <w:r>
        <w:rPr>
          <w:rFonts w:ascii="宋体" w:hAnsi="宋体"/>
          <w:szCs w:val="21"/>
        </w:rPr>
        <w:t>的范围或者改变投标</w:t>
      </w:r>
      <w:r>
        <w:rPr>
          <w:rFonts w:hint="eastAsia" w:ascii="宋体" w:hAnsi="宋体"/>
          <w:szCs w:val="21"/>
        </w:rPr>
        <w:t>书</w:t>
      </w:r>
      <w:r>
        <w:rPr>
          <w:rFonts w:ascii="宋体" w:hAnsi="宋体"/>
          <w:szCs w:val="21"/>
        </w:rPr>
        <w:t>的实质性内容</w:t>
      </w:r>
      <w:r>
        <w:rPr>
          <w:rFonts w:hint="eastAsia" w:ascii="宋体" w:hAnsi="宋体"/>
          <w:szCs w:val="21"/>
        </w:rPr>
        <w:t>，并</w:t>
      </w:r>
      <w:r>
        <w:rPr>
          <w:rFonts w:ascii="宋体" w:hAnsi="宋体"/>
          <w:szCs w:val="21"/>
        </w:rPr>
        <w:t>由其</w:t>
      </w:r>
      <w:r>
        <w:rPr>
          <w:rFonts w:hint="eastAsia" w:ascii="宋体" w:hAnsi="宋体"/>
          <w:szCs w:val="21"/>
        </w:rPr>
        <w:t>法定代表人或被</w:t>
      </w:r>
      <w:r>
        <w:rPr>
          <w:rFonts w:ascii="宋体" w:hAnsi="宋体"/>
          <w:szCs w:val="21"/>
        </w:rPr>
        <w:t>授权的代表签字。</w:t>
      </w:r>
    </w:p>
    <w:p>
      <w:pPr>
        <w:spacing w:line="400" w:lineRule="exact"/>
        <w:ind w:firstLine="525" w:firstLineChars="250"/>
        <w:rPr>
          <w:rFonts w:ascii="宋体" w:hAnsi="宋体"/>
          <w:szCs w:val="21"/>
        </w:rPr>
      </w:pPr>
      <w:r>
        <w:rPr>
          <w:rFonts w:hint="eastAsia" w:ascii="宋体" w:hAnsi="宋体"/>
          <w:szCs w:val="21"/>
        </w:rPr>
        <w:t>5.3</w:t>
      </w:r>
      <w:r>
        <w:rPr>
          <w:rFonts w:ascii="宋体" w:hAnsi="宋体"/>
          <w:szCs w:val="21"/>
        </w:rPr>
        <w:t>评委会修正错误的原则</w:t>
      </w:r>
      <w:r>
        <w:rPr>
          <w:rFonts w:hint="eastAsia" w:ascii="宋体" w:hAnsi="宋体"/>
          <w:szCs w:val="21"/>
        </w:rPr>
        <w:t>：</w:t>
      </w:r>
    </w:p>
    <w:p>
      <w:pPr>
        <w:spacing w:line="400" w:lineRule="exact"/>
        <w:ind w:firstLine="525" w:firstLineChars="250"/>
        <w:rPr>
          <w:rFonts w:ascii="宋体" w:hAnsi="宋体"/>
          <w:szCs w:val="21"/>
        </w:rPr>
      </w:pPr>
      <w:r>
        <w:rPr>
          <w:rFonts w:hint="eastAsia" w:ascii="宋体" w:hAnsi="宋体"/>
          <w:szCs w:val="21"/>
        </w:rPr>
        <w:t>5.3.1</w:t>
      </w:r>
      <w:r>
        <w:rPr>
          <w:rFonts w:ascii="宋体" w:hAnsi="宋体"/>
          <w:szCs w:val="21"/>
        </w:rPr>
        <w:t>如果数字表示的金额和用文字表示的金额不一致时，以文字表示的金额为准</w:t>
      </w:r>
      <w:r>
        <w:rPr>
          <w:rFonts w:hint="eastAsia" w:ascii="宋体" w:hAnsi="宋体"/>
          <w:szCs w:val="21"/>
        </w:rPr>
        <w:t>；当投标函的总报价与开标一览表不一致时，以开标一览表为准。</w:t>
      </w:r>
    </w:p>
    <w:p>
      <w:pPr>
        <w:spacing w:line="400" w:lineRule="exact"/>
        <w:ind w:firstLine="525" w:firstLineChars="250"/>
        <w:rPr>
          <w:rFonts w:ascii="宋体" w:hAnsi="宋体"/>
          <w:szCs w:val="21"/>
        </w:rPr>
      </w:pPr>
      <w:r>
        <w:rPr>
          <w:rFonts w:hint="eastAsia" w:ascii="宋体" w:hAnsi="宋体"/>
          <w:szCs w:val="21"/>
        </w:rPr>
        <w:t>5.3.2</w:t>
      </w:r>
      <w:r>
        <w:rPr>
          <w:rFonts w:ascii="宋体" w:hAnsi="宋体"/>
          <w:szCs w:val="21"/>
        </w:rPr>
        <w:t>如果单价与数量的乘积和总价不一致，以单价为准</w:t>
      </w:r>
      <w:r>
        <w:rPr>
          <w:rFonts w:hint="eastAsia" w:ascii="宋体" w:hAnsi="宋体"/>
          <w:szCs w:val="21"/>
        </w:rPr>
        <w:t>，修正总价及开标一览表；</w:t>
      </w:r>
      <w:r>
        <w:rPr>
          <w:rFonts w:ascii="宋体" w:hAnsi="宋体"/>
          <w:szCs w:val="21"/>
        </w:rPr>
        <w:t>当</w:t>
      </w:r>
      <w:r>
        <w:rPr>
          <w:rFonts w:hint="eastAsia" w:ascii="宋体" w:hAnsi="宋体"/>
          <w:szCs w:val="21"/>
        </w:rPr>
        <w:t>单价</w:t>
      </w:r>
      <w:r>
        <w:rPr>
          <w:rFonts w:ascii="宋体" w:hAnsi="宋体"/>
          <w:szCs w:val="21"/>
        </w:rPr>
        <w:t>小数点有明显的</w:t>
      </w:r>
      <w:r>
        <w:rPr>
          <w:rFonts w:hint="eastAsia" w:ascii="宋体" w:hAnsi="宋体"/>
          <w:szCs w:val="21"/>
        </w:rPr>
        <w:t>错位</w:t>
      </w:r>
      <w:r>
        <w:rPr>
          <w:rFonts w:ascii="宋体" w:hAnsi="宋体"/>
          <w:szCs w:val="21"/>
        </w:rPr>
        <w:t>时，评委会将以总价为准，并修正其单价</w:t>
      </w:r>
      <w:r>
        <w:rPr>
          <w:rFonts w:hint="eastAsia" w:ascii="宋体" w:hAnsi="宋体"/>
          <w:szCs w:val="21"/>
        </w:rPr>
        <w:t>。</w:t>
      </w:r>
    </w:p>
    <w:p>
      <w:pPr>
        <w:spacing w:line="400" w:lineRule="exact"/>
        <w:ind w:firstLine="403" w:firstLineChars="192"/>
        <w:rPr>
          <w:rFonts w:ascii="宋体" w:hAnsi="宋体"/>
          <w:sz w:val="24"/>
        </w:rPr>
      </w:pPr>
      <w:r>
        <w:rPr>
          <w:rFonts w:hint="eastAsia" w:ascii="宋体" w:hAnsi="宋体"/>
          <w:szCs w:val="21"/>
        </w:rPr>
        <w:t xml:space="preserve"> 5.4</w:t>
      </w:r>
      <w:r>
        <w:rPr>
          <w:rFonts w:hint="eastAsia" w:ascii="宋体"/>
          <w:szCs w:val="21"/>
        </w:rPr>
        <w:t>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pStyle w:val="6"/>
        <w:numPr>
          <w:ilvl w:val="0"/>
          <w:numId w:val="0"/>
        </w:numPr>
        <w:spacing w:line="312" w:lineRule="auto"/>
        <w:ind w:left="851"/>
        <w:jc w:val="center"/>
        <w:rPr>
          <w:rFonts w:ascii="宋体"/>
          <w:b/>
        </w:rPr>
      </w:pPr>
      <w:r>
        <w:rPr>
          <w:rFonts w:ascii="宋体"/>
          <w:b/>
        </w:rPr>
        <w:br w:type="page"/>
      </w:r>
      <w:bookmarkStart w:id="100" w:name="_Toc449028880"/>
      <w:bookmarkStart w:id="101" w:name="_Toc1818"/>
      <w:bookmarkStart w:id="102" w:name="_Toc19768"/>
      <w:bookmarkStart w:id="103" w:name="_Hlk47973894"/>
      <w:r>
        <w:rPr>
          <w:rFonts w:hint="eastAsia" w:ascii="宋体"/>
          <w:b/>
          <w:kern w:val="2"/>
          <w:sz w:val="28"/>
          <w:szCs w:val="28"/>
        </w:rPr>
        <w:t>四 比较与评价</w:t>
      </w:r>
      <w:bookmarkEnd w:id="100"/>
      <w:bookmarkEnd w:id="101"/>
      <w:bookmarkEnd w:id="102"/>
    </w:p>
    <w:p>
      <w:pPr>
        <w:spacing w:line="400" w:lineRule="exact"/>
        <w:ind w:firstLine="417" w:firstLineChars="198"/>
        <w:rPr>
          <w:rFonts w:ascii="宋体"/>
          <w:b/>
          <w:szCs w:val="21"/>
        </w:rPr>
      </w:pPr>
      <w:bookmarkStart w:id="104" w:name="_Toc449028881"/>
      <w:bookmarkStart w:id="105" w:name="_Toc362983805"/>
      <w:r>
        <w:rPr>
          <w:rFonts w:hint="eastAsia" w:ascii="宋体" w:hAnsi="宋体"/>
          <w:b/>
          <w:szCs w:val="21"/>
        </w:rPr>
        <w:t xml:space="preserve"> 6. </w:t>
      </w:r>
      <w:r>
        <w:rPr>
          <w:rFonts w:hint="eastAsia" w:ascii="宋体"/>
          <w:b/>
          <w:szCs w:val="21"/>
        </w:rPr>
        <w:t>详细评审即按招标文件中规定的评标方法和标准，评标委员会将对通过初审的投标文件，进行综合比较与评价。</w:t>
      </w:r>
    </w:p>
    <w:p>
      <w:pPr>
        <w:spacing w:line="400" w:lineRule="exact"/>
        <w:rPr>
          <w:b/>
          <w:bCs/>
        </w:rPr>
      </w:pPr>
      <w:r>
        <w:rPr>
          <w:rFonts w:hint="eastAsia" w:hAnsi="宋体"/>
          <w:b/>
          <w:bCs/>
        </w:rPr>
        <w:t>一、资信部分</w:t>
      </w:r>
      <w:r>
        <w:rPr>
          <w:b/>
          <w:bCs/>
        </w:rPr>
        <w:t>(</w:t>
      </w:r>
      <w:r>
        <w:rPr>
          <w:rFonts w:hint="eastAsia" w:hAnsi="宋体"/>
          <w:b/>
          <w:bCs/>
        </w:rPr>
        <w:t>满分4</w:t>
      </w:r>
      <w:r>
        <w:rPr>
          <w:rFonts w:hint="eastAsia"/>
          <w:b/>
          <w:bCs/>
        </w:rPr>
        <w:t>0</w:t>
      </w:r>
      <w:r>
        <w:rPr>
          <w:rFonts w:hint="eastAsia" w:hAnsi="宋体"/>
          <w:b/>
          <w:bCs/>
        </w:rPr>
        <w:t>分</w:t>
      </w:r>
      <w:r>
        <w:rPr>
          <w:b/>
          <w:bCs/>
        </w:rPr>
        <w:t>)</w:t>
      </w:r>
    </w:p>
    <w:tbl>
      <w:tblPr>
        <w:tblStyle w:val="31"/>
        <w:tblW w:w="8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428"/>
        <w:gridCol w:w="6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b/>
                <w:bCs/>
                <w:szCs w:val="22"/>
              </w:rPr>
            </w:pPr>
            <w:r>
              <w:rPr>
                <w:rFonts w:hint="eastAsia" w:hAnsi="宋体"/>
                <w:b/>
                <w:bCs/>
              </w:rPr>
              <w:t>序号</w:t>
            </w:r>
          </w:p>
        </w:tc>
        <w:tc>
          <w:tcPr>
            <w:tcW w:w="1428" w:type="dxa"/>
            <w:tcBorders>
              <w:top w:val="single" w:color="auto" w:sz="4" w:space="0"/>
              <w:left w:val="nil"/>
              <w:bottom w:val="single" w:color="auto" w:sz="4" w:space="0"/>
              <w:right w:val="single" w:color="auto" w:sz="4" w:space="0"/>
            </w:tcBorders>
            <w:vAlign w:val="center"/>
          </w:tcPr>
          <w:p>
            <w:pPr>
              <w:spacing w:line="312" w:lineRule="auto"/>
              <w:jc w:val="center"/>
              <w:rPr>
                <w:b/>
                <w:bCs/>
                <w:szCs w:val="22"/>
              </w:rPr>
            </w:pPr>
            <w:r>
              <w:rPr>
                <w:rFonts w:hint="eastAsia" w:hAnsi="宋体"/>
                <w:b/>
                <w:bCs/>
              </w:rPr>
              <w:t>评审因素</w:t>
            </w:r>
          </w:p>
        </w:tc>
        <w:tc>
          <w:tcPr>
            <w:tcW w:w="6421" w:type="dxa"/>
            <w:tcBorders>
              <w:top w:val="single" w:color="auto" w:sz="4" w:space="0"/>
              <w:left w:val="nil"/>
              <w:bottom w:val="single" w:color="auto" w:sz="4" w:space="0"/>
              <w:right w:val="single" w:color="auto" w:sz="4" w:space="0"/>
            </w:tcBorders>
            <w:vAlign w:val="center"/>
          </w:tcPr>
          <w:p>
            <w:pPr>
              <w:spacing w:line="312" w:lineRule="auto"/>
              <w:jc w:val="center"/>
              <w:rPr>
                <w:b/>
                <w:bCs/>
                <w:szCs w:val="22"/>
              </w:rPr>
            </w:pPr>
            <w:r>
              <w:rPr>
                <w:rFonts w:hint="eastAsia" w:hAnsi="宋体"/>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hAnsi="宋体"/>
              </w:rPr>
            </w:pPr>
            <w:r>
              <w:rPr>
                <w:rFonts w:hint="eastAsia" w:hAnsi="宋体"/>
              </w:rPr>
              <w:t>1</w:t>
            </w:r>
          </w:p>
        </w:tc>
        <w:tc>
          <w:tcPr>
            <w:tcW w:w="1428" w:type="dxa"/>
            <w:tcBorders>
              <w:top w:val="single" w:color="auto" w:sz="4" w:space="0"/>
              <w:left w:val="nil"/>
              <w:bottom w:val="single" w:color="auto" w:sz="4" w:space="0"/>
              <w:right w:val="single" w:color="auto" w:sz="4" w:space="0"/>
            </w:tcBorders>
            <w:vAlign w:val="center"/>
          </w:tcPr>
          <w:p>
            <w:pPr>
              <w:spacing w:line="312" w:lineRule="auto"/>
              <w:jc w:val="center"/>
              <w:rPr>
                <w:rFonts w:hAnsi="宋体"/>
              </w:rPr>
            </w:pPr>
            <w:r>
              <w:rPr>
                <w:rFonts w:hint="eastAsia" w:ascii="宋体" w:hAnsi="宋体" w:cs="宋体"/>
                <w:b/>
                <w:bCs/>
                <w:szCs w:val="21"/>
              </w:rPr>
              <w:t>投标人业绩</w:t>
            </w:r>
            <w:r>
              <w:rPr>
                <w:rFonts w:hint="eastAsia"/>
                <w:b/>
                <w:bCs/>
              </w:rPr>
              <w:t>（35分）</w:t>
            </w:r>
          </w:p>
        </w:tc>
        <w:tc>
          <w:tcPr>
            <w:tcW w:w="6421" w:type="dxa"/>
            <w:tcBorders>
              <w:top w:val="single" w:color="auto" w:sz="4" w:space="0"/>
              <w:left w:val="nil"/>
              <w:bottom w:val="single" w:color="auto" w:sz="4" w:space="0"/>
              <w:right w:val="single" w:color="auto" w:sz="4" w:space="0"/>
            </w:tcBorders>
            <w:vAlign w:val="center"/>
          </w:tcPr>
          <w:p>
            <w:pPr>
              <w:widowControl/>
              <w:spacing w:line="312" w:lineRule="auto"/>
            </w:pPr>
            <w:r>
              <w:rPr>
                <w:rFonts w:hint="eastAsia"/>
              </w:rPr>
              <w:t>1、自2016年1月1日以来，投标人服务的已发行债券的</w:t>
            </w:r>
            <w:r>
              <w:rPr>
                <w:rFonts w:hint="eastAsia" w:ascii="宋体" w:hAnsi="宋体" w:cs="宋体"/>
                <w:kern w:val="0"/>
                <w:szCs w:val="21"/>
                <w:lang w:bidi="ar"/>
              </w:rPr>
              <w:t>市级及以上政府城投公司或国家级开发区平台公司</w:t>
            </w:r>
            <w:r>
              <w:rPr>
                <w:rFonts w:hint="eastAsia"/>
              </w:rPr>
              <w:t>年度财务报表审计，每家得6分，最高得30分。</w:t>
            </w:r>
          </w:p>
          <w:p>
            <w:pPr>
              <w:widowControl/>
              <w:spacing w:line="312" w:lineRule="auto"/>
              <w:rPr>
                <w:b/>
                <w:bCs/>
              </w:rPr>
            </w:pPr>
            <w:r>
              <w:rPr>
                <w:rFonts w:hint="eastAsia"/>
                <w:b/>
                <w:bCs/>
              </w:rPr>
              <w:t>须提供</w:t>
            </w:r>
            <w:r>
              <w:rPr>
                <w:rFonts w:hint="eastAsia" w:ascii="宋体" w:hAnsi="宋体" w:cs="宋体"/>
                <w:b/>
                <w:bCs/>
                <w:kern w:val="0"/>
                <w:szCs w:val="21"/>
                <w:lang w:bidi="ar"/>
              </w:rPr>
              <w:t>市级及以上政府城投公司或国家级开发区平台公司</w:t>
            </w:r>
            <w:r>
              <w:rPr>
                <w:rFonts w:hint="eastAsia"/>
                <w:b/>
                <w:bCs/>
              </w:rPr>
              <w:t>已发行债券证明文件（如上市公告等）及发行日期后的年报审计报告或合同。（文件复印件、网页截图打印件加盖投标单位公章）</w:t>
            </w:r>
          </w:p>
          <w:p>
            <w:pPr>
              <w:widowControl/>
              <w:spacing w:line="312" w:lineRule="auto"/>
              <w:rPr>
                <w:b/>
                <w:bCs/>
              </w:rPr>
            </w:pPr>
            <w:r>
              <w:rPr>
                <w:rFonts w:hint="eastAsia"/>
                <w:b/>
                <w:bCs/>
              </w:rPr>
              <w:t>注：同一家公司多年服务仅计为一家。</w:t>
            </w:r>
          </w:p>
          <w:p>
            <w:pPr>
              <w:spacing w:line="312" w:lineRule="auto"/>
            </w:pPr>
            <w:r>
              <w:rPr>
                <w:rFonts w:hint="eastAsia"/>
              </w:rPr>
              <w:t>2、会计师事务所根据省级注册会计师协会最新综合评价排名，排名前 3 名的得 5分， 第 4--30 名的得 3 分，第 31--50 名的得 1分，其他不得分。</w:t>
            </w:r>
          </w:p>
          <w:p>
            <w:pPr>
              <w:spacing w:line="312" w:lineRule="auto"/>
              <w:rPr>
                <w:rFonts w:hAnsi="宋体"/>
              </w:rPr>
            </w:pPr>
            <w:r>
              <w:rPr>
                <w:rFonts w:hint="eastAsia"/>
                <w:b/>
                <w:bCs/>
              </w:rPr>
              <w:t>须提供相关证明文件的复印件加盖投标单位公章。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86" w:type="dxa"/>
            <w:tcBorders>
              <w:top w:val="single" w:color="auto" w:sz="4" w:space="0"/>
              <w:left w:val="single" w:color="auto" w:sz="4" w:space="0"/>
              <w:bottom w:val="single" w:color="auto" w:sz="4" w:space="0"/>
              <w:right w:val="single" w:color="auto" w:sz="4" w:space="0"/>
            </w:tcBorders>
            <w:vAlign w:val="center"/>
          </w:tcPr>
          <w:p>
            <w:pPr>
              <w:pStyle w:val="2"/>
              <w:spacing w:line="312" w:lineRule="auto"/>
              <w:ind w:left="0" w:leftChars="0" w:firstLine="0" w:firstLineChars="0"/>
              <w:jc w:val="center"/>
              <w:rPr>
                <w:b/>
                <w:bCs/>
              </w:rPr>
            </w:pPr>
            <w:r>
              <w:rPr>
                <w:rFonts w:hint="eastAsia"/>
                <w:b/>
                <w:bCs/>
              </w:rPr>
              <w:t>2</w:t>
            </w:r>
          </w:p>
        </w:tc>
        <w:tc>
          <w:tcPr>
            <w:tcW w:w="1428" w:type="dxa"/>
            <w:tcBorders>
              <w:top w:val="single" w:color="auto" w:sz="4" w:space="0"/>
              <w:left w:val="nil"/>
              <w:bottom w:val="single" w:color="auto" w:sz="4" w:space="0"/>
              <w:right w:val="single" w:color="auto" w:sz="4" w:space="0"/>
            </w:tcBorders>
            <w:vAlign w:val="center"/>
          </w:tcPr>
          <w:p>
            <w:pPr>
              <w:spacing w:line="312" w:lineRule="auto"/>
              <w:jc w:val="center"/>
              <w:rPr>
                <w:rFonts w:hAnsi="宋体"/>
                <w:b/>
                <w:bCs/>
              </w:rPr>
            </w:pPr>
            <w:r>
              <w:rPr>
                <w:rFonts w:hint="eastAsia" w:hAnsi="宋体"/>
                <w:b/>
                <w:bCs/>
              </w:rPr>
              <w:t>诚信档案</w:t>
            </w:r>
          </w:p>
          <w:p>
            <w:pPr>
              <w:spacing w:line="312" w:lineRule="auto"/>
              <w:jc w:val="center"/>
              <w:rPr>
                <w:rFonts w:hAnsi="宋体"/>
                <w:b/>
                <w:bCs/>
              </w:rPr>
            </w:pPr>
            <w:r>
              <w:rPr>
                <w:rFonts w:hint="eastAsia" w:hAnsi="宋体"/>
                <w:b/>
                <w:bCs/>
              </w:rPr>
              <w:t>（5分）</w:t>
            </w:r>
          </w:p>
        </w:tc>
        <w:tc>
          <w:tcPr>
            <w:tcW w:w="6421" w:type="dxa"/>
            <w:tcBorders>
              <w:top w:val="single" w:color="auto" w:sz="4" w:space="0"/>
              <w:left w:val="nil"/>
              <w:bottom w:val="single" w:color="auto" w:sz="4" w:space="0"/>
              <w:right w:val="single" w:color="auto" w:sz="4" w:space="0"/>
            </w:tcBorders>
            <w:vAlign w:val="center"/>
          </w:tcPr>
          <w:p>
            <w:pPr>
              <w:spacing w:line="312" w:lineRule="auto"/>
              <w:rPr>
                <w:rFonts w:hAnsi="宋体"/>
              </w:rPr>
            </w:pPr>
            <w:r>
              <w:rPr>
                <w:rFonts w:hint="eastAsia" w:hAnsi="宋体"/>
              </w:rPr>
              <w:t>投标人及其注册会计师自2016年1月1日以来，未受到证监会、财政部、发改委、中注协、中国银行间交易协会给予的行政处罚或暂停承接证券业务、行业惩戒的得5分。受到任意一项（次）的不得分。</w:t>
            </w:r>
          </w:p>
          <w:p>
            <w:pPr>
              <w:spacing w:line="312" w:lineRule="auto"/>
              <w:rPr>
                <w:rFonts w:hAnsi="宋体"/>
              </w:rPr>
            </w:pPr>
            <w:r>
              <w:rPr>
                <w:rFonts w:hint="eastAsia" w:hAnsi="宋体"/>
                <w:b/>
                <w:bCs/>
              </w:rPr>
              <w:t>须提供承诺函及相关网站查询结果截图。招标人根据投标人承诺及查询进行核实，一经发现造假，取消投标人资格。</w:t>
            </w:r>
          </w:p>
        </w:tc>
      </w:tr>
    </w:tbl>
    <w:p>
      <w:pPr>
        <w:spacing w:line="400" w:lineRule="exact"/>
        <w:rPr>
          <w:rFonts w:hAnsi="宋体"/>
          <w:b/>
          <w:bCs/>
        </w:rPr>
      </w:pPr>
    </w:p>
    <w:p>
      <w:pPr>
        <w:spacing w:line="312" w:lineRule="auto"/>
        <w:rPr>
          <w:b/>
          <w:bCs/>
        </w:rPr>
      </w:pPr>
      <w:r>
        <w:rPr>
          <w:rFonts w:hint="eastAsia" w:hAnsi="宋体"/>
          <w:b/>
          <w:bCs/>
        </w:rPr>
        <w:t>二、技术标部分（满分</w:t>
      </w:r>
      <w:r>
        <w:rPr>
          <w:rFonts w:hint="eastAsia"/>
          <w:b/>
          <w:bCs/>
        </w:rPr>
        <w:t>50</w:t>
      </w:r>
      <w:r>
        <w:rPr>
          <w:rFonts w:hint="eastAsia" w:hAnsi="宋体"/>
          <w:b/>
          <w:bCs/>
        </w:rPr>
        <w:t>分）</w:t>
      </w:r>
    </w:p>
    <w:tbl>
      <w:tblPr>
        <w:tblStyle w:val="31"/>
        <w:tblW w:w="8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408"/>
        <w:gridCol w:w="6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szCs w:val="22"/>
              </w:rPr>
            </w:pPr>
            <w:r>
              <w:rPr>
                <w:rFonts w:hint="eastAsia" w:hAnsi="宋体"/>
                <w:b/>
                <w:bCs/>
              </w:rPr>
              <w:t>序号</w:t>
            </w:r>
          </w:p>
        </w:tc>
        <w:tc>
          <w:tcPr>
            <w:tcW w:w="1408" w:type="dxa"/>
            <w:tcBorders>
              <w:top w:val="single" w:color="auto" w:sz="4" w:space="0"/>
              <w:left w:val="nil"/>
              <w:bottom w:val="single" w:color="auto" w:sz="4" w:space="0"/>
              <w:right w:val="single" w:color="auto" w:sz="4" w:space="0"/>
            </w:tcBorders>
            <w:vAlign w:val="center"/>
          </w:tcPr>
          <w:p>
            <w:pPr>
              <w:spacing w:line="312" w:lineRule="auto"/>
              <w:jc w:val="center"/>
              <w:rPr>
                <w:szCs w:val="22"/>
              </w:rPr>
            </w:pPr>
            <w:r>
              <w:rPr>
                <w:rFonts w:hint="eastAsia" w:hAnsi="宋体"/>
                <w:b/>
                <w:bCs/>
              </w:rPr>
              <w:t>评审因素</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szCs w:val="22"/>
              </w:rPr>
            </w:pPr>
            <w:r>
              <w:rPr>
                <w:rFonts w:hint="eastAsia" w:hAnsi="宋体"/>
                <w:b/>
                <w:bC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pPr>
            <w:r>
              <w:rPr>
                <w:rFonts w:hint="eastAsia"/>
              </w:rPr>
              <w:t>1</w:t>
            </w:r>
          </w:p>
        </w:tc>
        <w:tc>
          <w:tcPr>
            <w:tcW w:w="1408" w:type="dxa"/>
            <w:tcBorders>
              <w:top w:val="single" w:color="auto" w:sz="4" w:space="0"/>
              <w:left w:val="nil"/>
              <w:bottom w:val="single" w:color="auto" w:sz="4" w:space="0"/>
              <w:right w:val="single" w:color="auto" w:sz="4" w:space="0"/>
            </w:tcBorders>
          </w:tcPr>
          <w:p>
            <w:pPr>
              <w:spacing w:line="312" w:lineRule="auto"/>
              <w:rPr>
                <w:szCs w:val="22"/>
              </w:rPr>
            </w:pPr>
          </w:p>
          <w:p>
            <w:pPr>
              <w:spacing w:line="312" w:lineRule="auto"/>
              <w:rPr>
                <w:szCs w:val="22"/>
              </w:rPr>
            </w:pPr>
          </w:p>
          <w:p>
            <w:pPr>
              <w:spacing w:line="312" w:lineRule="auto"/>
              <w:jc w:val="center"/>
              <w:rPr>
                <w:rFonts w:ascii="宋体" w:hAnsi="宋体" w:cs="宋体"/>
                <w:b w:val="0"/>
                <w:bCs w:val="0"/>
                <w:szCs w:val="21"/>
              </w:rPr>
            </w:pPr>
            <w:r>
              <w:rPr>
                <w:rFonts w:hint="eastAsia" w:ascii="宋体" w:hAnsi="宋体" w:cs="宋体"/>
                <w:b/>
                <w:bCs/>
                <w:szCs w:val="21"/>
              </w:rPr>
              <w:t>项</w:t>
            </w:r>
            <w:r>
              <w:rPr>
                <w:rFonts w:hint="eastAsia" w:ascii="宋体" w:hAnsi="宋体" w:cs="宋体"/>
                <w:b w:val="0"/>
                <w:bCs w:val="0"/>
                <w:szCs w:val="21"/>
              </w:rPr>
              <w:t>目负责人</w:t>
            </w:r>
          </w:p>
          <w:p>
            <w:pPr>
              <w:spacing w:line="312" w:lineRule="auto"/>
              <w:jc w:val="center"/>
              <w:rPr>
                <w:b w:val="0"/>
                <w:bCs w:val="0"/>
                <w:szCs w:val="22"/>
              </w:rPr>
            </w:pPr>
            <w:r>
              <w:rPr>
                <w:rFonts w:hint="eastAsia" w:hAnsi="宋体"/>
                <w:b w:val="0"/>
                <w:bCs w:val="0"/>
              </w:rPr>
              <w:t>（</w:t>
            </w:r>
            <w:r>
              <w:rPr>
                <w:rFonts w:hint="eastAsia"/>
                <w:b w:val="0"/>
                <w:bCs w:val="0"/>
              </w:rPr>
              <w:t>10</w:t>
            </w:r>
            <w:r>
              <w:rPr>
                <w:rFonts w:hint="eastAsia" w:hAnsi="宋体"/>
                <w:b w:val="0"/>
                <w:bCs w:val="0"/>
              </w:rPr>
              <w:t>分）</w:t>
            </w:r>
          </w:p>
          <w:p>
            <w:pPr>
              <w:spacing w:line="312" w:lineRule="auto"/>
              <w:rPr>
                <w:szCs w:val="22"/>
              </w:rPr>
            </w:pPr>
          </w:p>
        </w:tc>
        <w:tc>
          <w:tcPr>
            <w:tcW w:w="6317" w:type="dxa"/>
            <w:tcBorders>
              <w:top w:val="single" w:color="auto" w:sz="4" w:space="0"/>
              <w:left w:val="single" w:color="auto" w:sz="4" w:space="0"/>
              <w:bottom w:val="single" w:color="auto" w:sz="4" w:space="0"/>
              <w:right w:val="single" w:color="auto" w:sz="4" w:space="0"/>
            </w:tcBorders>
            <w:vAlign w:val="center"/>
          </w:tcPr>
          <w:p>
            <w:pPr>
              <w:widowControl/>
              <w:spacing w:line="312" w:lineRule="auto"/>
              <w:rPr>
                <w:rFonts w:ascii="宋体" w:hAnsi="宋体" w:cs="宋体"/>
                <w:color w:val="000000"/>
                <w:szCs w:val="21"/>
                <w:lang w:val="zh-CN"/>
              </w:rPr>
            </w:pPr>
            <w:r>
              <w:rPr>
                <w:rFonts w:hint="eastAsia" w:ascii="宋体" w:hAnsi="宋体" w:cs="宋体"/>
                <w:color w:val="000000"/>
                <w:szCs w:val="21"/>
                <w:lang w:val="zh-CN"/>
              </w:rPr>
              <w:t>项目负责人自201</w:t>
            </w:r>
            <w:r>
              <w:rPr>
                <w:rFonts w:hint="eastAsia" w:ascii="宋体" w:hAnsi="宋体" w:cs="宋体"/>
                <w:color w:val="000000"/>
                <w:szCs w:val="21"/>
              </w:rPr>
              <w:t>6</w:t>
            </w:r>
            <w:r>
              <w:rPr>
                <w:rFonts w:hint="eastAsia" w:ascii="宋体" w:hAnsi="宋体" w:cs="宋体"/>
                <w:color w:val="000000"/>
                <w:szCs w:val="21"/>
                <w:lang w:val="zh-CN"/>
              </w:rPr>
              <w:t>年1月1日以来，负责过</w:t>
            </w:r>
            <w:r>
              <w:rPr>
                <w:rFonts w:ascii="宋体" w:hAnsi="宋体" w:cs="宋体"/>
                <w:color w:val="000000"/>
                <w:szCs w:val="21"/>
                <w:lang w:val="zh-CN"/>
              </w:rPr>
              <w:t>5</w:t>
            </w:r>
            <w:r>
              <w:rPr>
                <w:rFonts w:hint="eastAsia" w:ascii="宋体" w:hAnsi="宋体" w:cs="宋体"/>
                <w:color w:val="000000"/>
                <w:szCs w:val="21"/>
                <w:lang w:val="zh-CN"/>
              </w:rPr>
              <w:t>家及以上的</w:t>
            </w:r>
            <w:r>
              <w:rPr>
                <w:rFonts w:hint="eastAsia"/>
              </w:rPr>
              <w:t>已发行债券的</w:t>
            </w:r>
            <w:r>
              <w:rPr>
                <w:rFonts w:hint="eastAsia" w:ascii="宋体" w:hAnsi="宋体" w:cs="宋体"/>
                <w:kern w:val="0"/>
                <w:szCs w:val="21"/>
                <w:lang w:bidi="ar"/>
              </w:rPr>
              <w:t>市级及以上政府城投公司或国家级开发区平台公司</w:t>
            </w:r>
            <w:r>
              <w:rPr>
                <w:rFonts w:hint="eastAsia" w:ascii="宋体" w:hAnsi="宋体" w:cs="宋体"/>
                <w:color w:val="000000"/>
                <w:szCs w:val="21"/>
                <w:lang w:val="zh-CN"/>
              </w:rPr>
              <w:t>年度财务报表审计的得</w:t>
            </w:r>
            <w:r>
              <w:rPr>
                <w:rFonts w:ascii="宋体" w:hAnsi="宋体" w:cs="宋体"/>
                <w:color w:val="000000"/>
                <w:szCs w:val="21"/>
                <w:lang w:val="zh-CN"/>
              </w:rPr>
              <w:t>10</w:t>
            </w:r>
            <w:r>
              <w:rPr>
                <w:rFonts w:hint="eastAsia" w:ascii="宋体" w:hAnsi="宋体" w:cs="宋体"/>
                <w:color w:val="000000"/>
                <w:szCs w:val="21"/>
                <w:lang w:val="zh-CN"/>
              </w:rPr>
              <w:t>分，负责过</w:t>
            </w:r>
            <w:r>
              <w:rPr>
                <w:rFonts w:hint="eastAsia" w:ascii="宋体" w:hAnsi="宋体" w:cs="宋体"/>
                <w:color w:val="000000"/>
                <w:szCs w:val="21"/>
              </w:rPr>
              <w:t>3</w:t>
            </w:r>
            <w:r>
              <w:rPr>
                <w:rFonts w:hint="eastAsia" w:ascii="宋体" w:hAnsi="宋体" w:cs="宋体"/>
                <w:color w:val="000000"/>
                <w:szCs w:val="21"/>
                <w:lang w:val="zh-CN"/>
              </w:rPr>
              <w:t>-</w:t>
            </w:r>
            <w:r>
              <w:rPr>
                <w:rFonts w:ascii="宋体" w:hAnsi="宋体" w:cs="宋体"/>
                <w:color w:val="000000"/>
                <w:szCs w:val="21"/>
                <w:lang w:val="zh-CN"/>
              </w:rPr>
              <w:t>4</w:t>
            </w:r>
            <w:r>
              <w:rPr>
                <w:rFonts w:hint="eastAsia" w:ascii="宋体" w:hAnsi="宋体" w:cs="宋体"/>
                <w:color w:val="000000"/>
                <w:szCs w:val="21"/>
                <w:lang w:val="zh-CN"/>
              </w:rPr>
              <w:t>家的得</w:t>
            </w:r>
            <w:r>
              <w:rPr>
                <w:rFonts w:ascii="宋体" w:hAnsi="宋体" w:cs="宋体"/>
                <w:color w:val="000000"/>
                <w:szCs w:val="21"/>
                <w:lang w:val="zh-CN"/>
              </w:rPr>
              <w:t>5</w:t>
            </w:r>
            <w:r>
              <w:rPr>
                <w:rFonts w:hint="eastAsia" w:ascii="宋体" w:hAnsi="宋体" w:cs="宋体"/>
                <w:color w:val="000000"/>
                <w:szCs w:val="21"/>
                <w:lang w:val="zh-CN"/>
              </w:rPr>
              <w:t>分，1</w:t>
            </w:r>
            <w:r>
              <w:rPr>
                <w:rFonts w:hint="eastAsia" w:ascii="宋体" w:hAnsi="宋体" w:cs="宋体"/>
                <w:color w:val="000000"/>
                <w:szCs w:val="21"/>
              </w:rPr>
              <w:t>-2</w:t>
            </w:r>
            <w:r>
              <w:rPr>
                <w:rFonts w:hint="eastAsia" w:ascii="宋体" w:hAnsi="宋体" w:cs="宋体"/>
                <w:color w:val="000000"/>
                <w:szCs w:val="21"/>
                <w:lang w:val="zh-CN"/>
              </w:rPr>
              <w:t>家的得1分。</w:t>
            </w:r>
          </w:p>
          <w:p>
            <w:pPr>
              <w:widowControl/>
              <w:spacing w:line="312" w:lineRule="auto"/>
              <w:rPr>
                <w:szCs w:val="22"/>
              </w:rPr>
            </w:pPr>
            <w:r>
              <w:rPr>
                <w:rFonts w:hint="eastAsia"/>
                <w:b/>
                <w:bCs/>
              </w:rPr>
              <w:t>须提供</w:t>
            </w:r>
            <w:r>
              <w:rPr>
                <w:rFonts w:hint="eastAsia" w:ascii="宋体" w:hAnsi="宋体" w:cs="宋体"/>
                <w:b/>
                <w:bCs/>
                <w:kern w:val="0"/>
                <w:szCs w:val="21"/>
                <w:lang w:bidi="ar"/>
              </w:rPr>
              <w:t>市级及以上政府城投公司或国家级开发区平台公司</w:t>
            </w:r>
            <w:r>
              <w:rPr>
                <w:rFonts w:hint="eastAsia"/>
                <w:b/>
                <w:bCs/>
              </w:rPr>
              <w:t>已发行债券证明文件（如上市公告等）及发行日期后的年报审计报告，</w:t>
            </w:r>
            <w:r>
              <w:rPr>
                <w:rFonts w:hint="eastAsia" w:ascii="宋体" w:hAnsi="宋体" w:cs="宋体"/>
                <w:b/>
                <w:bCs/>
                <w:color w:val="000000"/>
                <w:szCs w:val="21"/>
                <w:lang w:val="zh-CN"/>
              </w:rPr>
              <w:t>以年度财务报表审计报告签字为准。</w:t>
            </w:r>
            <w:r>
              <w:rPr>
                <w:rFonts w:hint="eastAsia"/>
                <w:b/>
                <w:bCs/>
              </w:rPr>
              <w:t>（文件复印件、网页截图打印件加盖投标单位公章）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pPr>
            <w:r>
              <w:rPr>
                <w:rFonts w:hint="eastAsia"/>
              </w:rPr>
              <w:t>2</w:t>
            </w:r>
          </w:p>
        </w:tc>
        <w:tc>
          <w:tcPr>
            <w:tcW w:w="1408" w:type="dxa"/>
            <w:tcBorders>
              <w:top w:val="single" w:color="auto" w:sz="4" w:space="0"/>
              <w:left w:val="nil"/>
              <w:bottom w:val="single" w:color="auto" w:sz="4" w:space="0"/>
              <w:right w:val="single" w:color="auto" w:sz="4" w:space="0"/>
            </w:tcBorders>
            <w:vAlign w:val="center"/>
          </w:tcPr>
          <w:p>
            <w:pPr>
              <w:spacing w:line="312" w:lineRule="auto"/>
              <w:jc w:val="center"/>
              <w:rPr>
                <w:szCs w:val="22"/>
              </w:rPr>
            </w:pPr>
            <w:r>
              <w:rPr>
                <w:rFonts w:hint="eastAsia" w:ascii="宋体" w:hAnsi="宋体" w:cs="宋体"/>
                <w:b/>
                <w:bCs/>
                <w:szCs w:val="21"/>
              </w:rPr>
              <w:t>项目组专业技术力量（含项目负责人）（15分）</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000000"/>
                <w:szCs w:val="21"/>
                <w:lang w:val="zh-CN"/>
              </w:rPr>
            </w:pPr>
            <w:r>
              <w:rPr>
                <w:rFonts w:hint="eastAsia" w:ascii="宋体" w:hAnsi="宋体" w:cs="宋体"/>
                <w:color w:val="000000"/>
                <w:szCs w:val="21"/>
                <w:lang w:val="zh-CN"/>
              </w:rPr>
              <w:t>投标供应商为本项目专设项目组的审计人员应不少于</w:t>
            </w:r>
            <w:r>
              <w:rPr>
                <w:rFonts w:hint="eastAsia" w:ascii="宋体" w:hAnsi="宋体" w:cs="宋体"/>
                <w:color w:val="000000"/>
                <w:szCs w:val="21"/>
              </w:rPr>
              <w:t>6</w:t>
            </w:r>
            <w:r>
              <w:rPr>
                <w:rFonts w:hint="eastAsia" w:ascii="宋体" w:hAnsi="宋体" w:cs="宋体"/>
                <w:color w:val="000000"/>
                <w:szCs w:val="21"/>
                <w:lang w:val="zh-CN"/>
              </w:rPr>
              <w:t>人，其中：拥有中级及以上职称的，每</w:t>
            </w:r>
            <w:r>
              <w:rPr>
                <w:rFonts w:hint="eastAsia" w:ascii="宋体" w:hAnsi="宋体" w:cs="宋体"/>
                <w:color w:val="000000"/>
                <w:szCs w:val="21"/>
              </w:rPr>
              <w:t>1</w:t>
            </w:r>
            <w:r>
              <w:rPr>
                <w:rFonts w:hint="eastAsia" w:ascii="宋体" w:hAnsi="宋体" w:cs="宋体"/>
                <w:color w:val="000000"/>
                <w:szCs w:val="21"/>
                <w:lang w:val="zh-CN"/>
              </w:rPr>
              <w:t>人得</w:t>
            </w:r>
            <w:r>
              <w:rPr>
                <w:rFonts w:hint="eastAsia" w:ascii="宋体" w:hAnsi="宋体" w:cs="宋体"/>
                <w:color w:val="000000"/>
                <w:szCs w:val="21"/>
              </w:rPr>
              <w:t>2</w:t>
            </w:r>
            <w:r>
              <w:rPr>
                <w:rFonts w:hint="eastAsia" w:ascii="宋体" w:hAnsi="宋体" w:cs="宋体"/>
                <w:color w:val="000000"/>
                <w:szCs w:val="21"/>
                <w:lang w:val="zh-CN"/>
              </w:rPr>
              <w:t>分，最高得5分；每提供1名注册会计师的加</w:t>
            </w:r>
            <w:r>
              <w:rPr>
                <w:rFonts w:hint="eastAsia" w:ascii="宋体" w:hAnsi="宋体" w:cs="宋体"/>
                <w:color w:val="000000"/>
                <w:szCs w:val="21"/>
              </w:rPr>
              <w:t>4</w:t>
            </w:r>
            <w:r>
              <w:rPr>
                <w:rFonts w:hint="eastAsia" w:ascii="宋体" w:hAnsi="宋体" w:cs="宋体"/>
                <w:color w:val="000000"/>
                <w:szCs w:val="21"/>
                <w:lang w:val="zh-CN"/>
              </w:rPr>
              <w:t>分，最高得</w:t>
            </w:r>
            <w:r>
              <w:rPr>
                <w:rFonts w:hint="eastAsia" w:ascii="宋体" w:hAnsi="宋体" w:cs="宋体"/>
                <w:color w:val="000000"/>
                <w:szCs w:val="21"/>
              </w:rPr>
              <w:t>10</w:t>
            </w:r>
            <w:r>
              <w:rPr>
                <w:rFonts w:hint="eastAsia" w:ascii="宋体" w:hAnsi="宋体" w:cs="宋体"/>
                <w:color w:val="000000"/>
                <w:szCs w:val="21"/>
                <w:lang w:val="zh-CN"/>
              </w:rPr>
              <w:t xml:space="preserve">分。 本项满分 </w:t>
            </w:r>
            <w:r>
              <w:rPr>
                <w:rFonts w:hint="eastAsia" w:ascii="宋体" w:hAnsi="宋体" w:cs="宋体"/>
                <w:color w:val="000000"/>
                <w:szCs w:val="21"/>
              </w:rPr>
              <w:t>15</w:t>
            </w:r>
            <w:r>
              <w:rPr>
                <w:rFonts w:hint="eastAsia" w:ascii="宋体" w:hAnsi="宋体" w:cs="宋体"/>
                <w:color w:val="000000"/>
                <w:szCs w:val="21"/>
                <w:lang w:val="zh-CN"/>
              </w:rPr>
              <w:t xml:space="preserve">分。 </w:t>
            </w:r>
          </w:p>
          <w:p>
            <w:pPr>
              <w:spacing w:line="312" w:lineRule="auto"/>
              <w:rPr>
                <w:rFonts w:ascii="宋体" w:hAnsi="宋体" w:cs="宋体"/>
                <w:b/>
                <w:bCs/>
                <w:color w:val="000000"/>
                <w:szCs w:val="21"/>
                <w:lang w:val="zh-CN"/>
              </w:rPr>
            </w:pPr>
            <w:r>
              <w:rPr>
                <w:rFonts w:hint="eastAsia" w:ascii="宋体" w:hAnsi="宋体" w:cs="宋体"/>
                <w:b/>
                <w:bCs/>
                <w:color w:val="000000"/>
                <w:szCs w:val="21"/>
                <w:lang w:val="zh-CN"/>
              </w:rPr>
              <w:t>须提供</w:t>
            </w:r>
            <w:r>
              <w:rPr>
                <w:rFonts w:hint="eastAsia" w:ascii="宋体" w:hAnsi="宋体" w:cs="宋体"/>
                <w:b/>
                <w:bCs/>
                <w:color w:val="000000"/>
                <w:szCs w:val="21"/>
              </w:rPr>
              <w:t>①</w:t>
            </w:r>
            <w:r>
              <w:rPr>
                <w:rFonts w:hint="eastAsia" w:ascii="宋体" w:hAnsi="宋体" w:cs="宋体"/>
                <w:b/>
                <w:bCs/>
                <w:color w:val="000000"/>
                <w:szCs w:val="21"/>
                <w:lang w:val="zh-CN"/>
              </w:rPr>
              <w:t>人员职称证书</w:t>
            </w:r>
            <w:r>
              <w:rPr>
                <w:rFonts w:hint="eastAsia" w:ascii="宋体" w:hAnsi="宋体" w:cs="宋体"/>
                <w:b/>
                <w:bCs/>
                <w:color w:val="000000"/>
                <w:szCs w:val="21"/>
              </w:rPr>
              <w:t>或</w:t>
            </w:r>
            <w:r>
              <w:rPr>
                <w:rFonts w:hint="eastAsia" w:ascii="宋体" w:hAnsi="宋体" w:cs="宋体"/>
                <w:b/>
                <w:bCs/>
                <w:color w:val="000000"/>
                <w:szCs w:val="21"/>
                <w:lang w:val="zh-CN"/>
              </w:rPr>
              <w:t>资格证书</w:t>
            </w:r>
            <w:r>
              <w:rPr>
                <w:rFonts w:hint="eastAsia" w:ascii="宋体" w:hAnsi="宋体" w:cs="宋体"/>
                <w:b/>
                <w:bCs/>
                <w:color w:val="000000"/>
                <w:szCs w:val="21"/>
              </w:rPr>
              <w:t>复印件加盖投标单位公章</w:t>
            </w:r>
            <w:r>
              <w:rPr>
                <w:rFonts w:hint="eastAsia" w:ascii="宋体" w:hAnsi="宋体" w:cs="宋体"/>
                <w:b/>
                <w:bCs/>
                <w:color w:val="000000"/>
                <w:szCs w:val="21"/>
                <w:lang w:val="zh-CN"/>
              </w:rPr>
              <w:t>，</w:t>
            </w:r>
            <w:r>
              <w:rPr>
                <w:rFonts w:hint="eastAsia" w:ascii="宋体" w:hAnsi="宋体" w:cs="宋体"/>
                <w:b/>
                <w:bCs/>
                <w:color w:val="000000"/>
                <w:szCs w:val="21"/>
              </w:rPr>
              <w:t>②</w:t>
            </w:r>
            <w:r>
              <w:rPr>
                <w:rFonts w:hint="eastAsia" w:ascii="宋体" w:hAnsi="宋体" w:cs="宋体"/>
                <w:b/>
                <w:bCs/>
                <w:color w:val="000000"/>
                <w:szCs w:val="21"/>
                <w:lang w:val="zh-CN"/>
              </w:rPr>
              <w:t>近3个月内（任意一个月即可）投标供应商为其购买的社保缴纳证明（</w:t>
            </w:r>
            <w:r>
              <w:rPr>
                <w:rFonts w:hint="eastAsia" w:ascii="宋体" w:hAnsi="宋体" w:cs="宋体"/>
                <w:b/>
                <w:bCs/>
                <w:color w:val="000000"/>
                <w:szCs w:val="21"/>
              </w:rPr>
              <w:t>复印件或官网打印件加盖投标单位公章</w:t>
            </w:r>
            <w:r>
              <w:rPr>
                <w:rFonts w:hint="eastAsia" w:ascii="宋体" w:hAnsi="宋体" w:cs="宋体"/>
                <w:b/>
                <w:bCs/>
                <w:color w:val="000000"/>
                <w:szCs w:val="21"/>
                <w:lang w:val="zh-CN"/>
              </w:rPr>
              <w:t>）。</w:t>
            </w:r>
          </w:p>
          <w:p>
            <w:pPr>
              <w:spacing w:line="312" w:lineRule="auto"/>
              <w:rPr>
                <w:szCs w:val="22"/>
              </w:rPr>
            </w:pPr>
            <w:r>
              <w:rPr>
                <w:rFonts w:hint="eastAsia" w:ascii="宋体" w:hAnsi="宋体" w:cs="宋体"/>
                <w:b/>
                <w:bCs/>
                <w:color w:val="000000"/>
                <w:szCs w:val="21"/>
              </w:rPr>
              <w:t>注：</w:t>
            </w:r>
            <w:r>
              <w:rPr>
                <w:rFonts w:hint="eastAsia" w:ascii="宋体" w:hAnsi="宋体" w:cs="宋体"/>
                <w:b/>
                <w:bCs/>
                <w:color w:val="000000"/>
                <w:szCs w:val="21"/>
                <w:lang w:val="zh-CN"/>
              </w:rPr>
              <w:t>一人同时具</w:t>
            </w:r>
            <w:r>
              <w:rPr>
                <w:rFonts w:hint="eastAsia" w:ascii="宋体" w:hAnsi="宋体" w:cs="宋体"/>
                <w:b/>
                <w:bCs/>
                <w:color w:val="000000"/>
                <w:szCs w:val="21"/>
              </w:rPr>
              <w:t>两个不同专业</w:t>
            </w:r>
            <w:r>
              <w:rPr>
                <w:rFonts w:hint="eastAsia" w:ascii="宋体" w:hAnsi="宋体" w:cs="宋体"/>
                <w:b/>
                <w:bCs/>
                <w:color w:val="000000"/>
                <w:szCs w:val="21"/>
                <w:lang w:val="zh-CN"/>
              </w:rPr>
              <w:t>职称的，</w:t>
            </w:r>
            <w:r>
              <w:rPr>
                <w:rFonts w:hint="eastAsia" w:ascii="宋体" w:hAnsi="宋体" w:cs="宋体"/>
                <w:b/>
                <w:bCs/>
                <w:color w:val="000000"/>
                <w:szCs w:val="21"/>
              </w:rPr>
              <w:t>仅计一次分</w:t>
            </w:r>
            <w:r>
              <w:rPr>
                <w:rFonts w:hint="eastAsia" w:ascii="宋体" w:hAnsi="宋体" w:cs="宋体"/>
                <w:b/>
                <w:bCs/>
                <w:color w:val="000000"/>
                <w:szCs w:val="21"/>
                <w:lang w:val="zh-CN"/>
              </w:rPr>
              <w:t>。</w:t>
            </w:r>
            <w:r>
              <w:rPr>
                <w:rFonts w:hint="eastAsia" w:ascii="宋体" w:hAnsi="宋体" w:cs="宋体"/>
                <w:color w:val="000000"/>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pPr>
            <w:r>
              <w:rPr>
                <w:rFonts w:hint="eastAsia"/>
              </w:rPr>
              <w:t>3</w:t>
            </w:r>
          </w:p>
        </w:tc>
        <w:tc>
          <w:tcPr>
            <w:tcW w:w="1408" w:type="dxa"/>
            <w:tcBorders>
              <w:top w:val="single" w:color="auto" w:sz="4" w:space="0"/>
              <w:left w:val="nil"/>
              <w:bottom w:val="single" w:color="auto" w:sz="4" w:space="0"/>
              <w:right w:val="single" w:color="auto" w:sz="4" w:space="0"/>
            </w:tcBorders>
            <w:vAlign w:val="center"/>
          </w:tcPr>
          <w:p>
            <w:pPr>
              <w:spacing w:line="312" w:lineRule="auto"/>
              <w:jc w:val="center"/>
              <w:rPr>
                <w:rFonts w:ascii="宋体" w:hAnsi="宋体" w:cs="宋体"/>
                <w:b/>
                <w:bCs/>
                <w:szCs w:val="21"/>
              </w:rPr>
            </w:pPr>
            <w:r>
              <w:rPr>
                <w:rFonts w:hint="eastAsia" w:ascii="宋体" w:hAnsi="宋体" w:cs="宋体"/>
                <w:b/>
                <w:bCs/>
                <w:szCs w:val="21"/>
              </w:rPr>
              <w:t>服务方案</w:t>
            </w:r>
          </w:p>
          <w:p>
            <w:pPr>
              <w:spacing w:line="312" w:lineRule="auto"/>
              <w:jc w:val="center"/>
              <w:rPr>
                <w:rFonts w:ascii="宋体" w:hAnsi="宋体" w:cs="宋体"/>
                <w:b/>
                <w:bCs/>
                <w:szCs w:val="21"/>
              </w:rPr>
            </w:pPr>
            <w:r>
              <w:rPr>
                <w:rFonts w:hint="eastAsia" w:ascii="宋体" w:hAnsi="宋体" w:cs="宋体"/>
                <w:b/>
                <w:bCs/>
                <w:szCs w:val="21"/>
              </w:rPr>
              <w:t>（15分）</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b/>
                <w:bCs/>
                <w:color w:val="000000"/>
                <w:szCs w:val="21"/>
              </w:rPr>
            </w:pPr>
            <w:r>
              <w:rPr>
                <w:rFonts w:hint="eastAsia" w:ascii="宋体" w:hAnsi="宋体" w:cs="宋体"/>
                <w:color w:val="000000"/>
                <w:szCs w:val="21"/>
                <w:lang w:val="zh-CN"/>
              </w:rPr>
              <w:t>根据投标人提供的服务方案的全面性、可操作性、服务便捷性；审计程序、审计方法；服务的难点、要点阐述；服务承诺、质量控制措施；人员安排及相关服务经验、未经业主同意不得更换项目负责人等内容进行综合打分。优秀得</w:t>
            </w:r>
            <w:r>
              <w:rPr>
                <w:rFonts w:hint="eastAsia" w:ascii="宋体" w:hAnsi="宋体" w:cs="宋体"/>
                <w:color w:val="000000"/>
                <w:szCs w:val="21"/>
              </w:rPr>
              <w:t>12（不含）-15（含）</w:t>
            </w:r>
            <w:r>
              <w:rPr>
                <w:rFonts w:hint="eastAsia" w:ascii="宋体" w:hAnsi="宋体" w:cs="宋体"/>
                <w:color w:val="000000"/>
                <w:szCs w:val="21"/>
                <w:lang w:val="zh-CN"/>
              </w:rPr>
              <w:t>分，良好得</w:t>
            </w:r>
            <w:r>
              <w:rPr>
                <w:rFonts w:hint="eastAsia" w:ascii="宋体" w:hAnsi="宋体" w:cs="宋体"/>
                <w:color w:val="000000"/>
                <w:szCs w:val="21"/>
              </w:rPr>
              <w:t>8（不含）-12（含）</w:t>
            </w:r>
            <w:r>
              <w:rPr>
                <w:rFonts w:hint="eastAsia" w:ascii="宋体" w:hAnsi="宋体" w:cs="宋体"/>
                <w:color w:val="000000"/>
                <w:szCs w:val="21"/>
                <w:lang w:val="zh-CN"/>
              </w:rPr>
              <w:t>分，一般得</w:t>
            </w:r>
            <w:r>
              <w:rPr>
                <w:rFonts w:hint="eastAsia" w:ascii="宋体" w:hAnsi="宋体" w:cs="宋体"/>
                <w:color w:val="000000"/>
                <w:szCs w:val="21"/>
              </w:rPr>
              <w:t>4（不含）-8（含）</w:t>
            </w:r>
            <w:r>
              <w:rPr>
                <w:rFonts w:hint="eastAsia" w:ascii="宋体" w:hAnsi="宋体" w:cs="宋体"/>
                <w:color w:val="000000"/>
                <w:szCs w:val="21"/>
                <w:lang w:val="zh-CN"/>
              </w:rPr>
              <w:t>分，较差得</w:t>
            </w:r>
            <w:r>
              <w:rPr>
                <w:rFonts w:hint="eastAsia" w:ascii="宋体" w:hAnsi="宋体" w:cs="宋体"/>
                <w:color w:val="000000"/>
                <w:szCs w:val="21"/>
              </w:rPr>
              <w:t>0（含）-4（含）</w:t>
            </w:r>
            <w:r>
              <w:rPr>
                <w:rFonts w:hint="eastAsia" w:ascii="宋体" w:hAnsi="宋体" w:cs="宋体"/>
                <w:color w:val="000000"/>
                <w:szCs w:val="21"/>
                <w:lang w:val="zh-CN"/>
              </w:rPr>
              <w:t>分。</w:t>
            </w:r>
            <w:r>
              <w:rPr>
                <w:rFonts w:hint="eastAsia" w:ascii="宋体" w:hAnsi="宋体" w:cs="宋体"/>
                <w:color w:val="000000"/>
                <w:szCs w:val="21"/>
              </w:rPr>
              <w:t>投标文件中须反映评审内容，未提供不得分。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8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pPr>
            <w:r>
              <w:rPr>
                <w:rFonts w:hint="eastAsia"/>
              </w:rPr>
              <w:t>3</w:t>
            </w:r>
          </w:p>
        </w:tc>
        <w:tc>
          <w:tcPr>
            <w:tcW w:w="1408" w:type="dxa"/>
            <w:tcBorders>
              <w:top w:val="single" w:color="auto" w:sz="4" w:space="0"/>
              <w:left w:val="nil"/>
              <w:bottom w:val="single" w:color="auto" w:sz="4" w:space="0"/>
              <w:right w:val="single" w:color="auto" w:sz="4" w:space="0"/>
            </w:tcBorders>
            <w:vAlign w:val="center"/>
          </w:tcPr>
          <w:p>
            <w:pPr>
              <w:spacing w:line="312" w:lineRule="auto"/>
              <w:jc w:val="center"/>
              <w:rPr>
                <w:rFonts w:hAnsi="宋体"/>
                <w:b/>
                <w:bCs/>
              </w:rPr>
            </w:pPr>
            <w:r>
              <w:rPr>
                <w:rFonts w:hint="eastAsia" w:hAnsi="宋体"/>
                <w:b/>
                <w:bCs/>
              </w:rPr>
              <w:t>报告出具时效性</w:t>
            </w:r>
          </w:p>
          <w:p>
            <w:pPr>
              <w:spacing w:line="312" w:lineRule="auto"/>
              <w:jc w:val="center"/>
              <w:rPr>
                <w:szCs w:val="21"/>
              </w:rPr>
            </w:pPr>
            <w:r>
              <w:rPr>
                <w:rFonts w:hint="eastAsia" w:hAnsi="宋体"/>
                <w:b/>
                <w:bCs/>
              </w:rPr>
              <w:t>（10分）</w:t>
            </w:r>
          </w:p>
        </w:tc>
        <w:tc>
          <w:tcPr>
            <w:tcW w:w="6317" w:type="dxa"/>
            <w:tcBorders>
              <w:top w:val="single" w:color="auto" w:sz="4" w:space="0"/>
              <w:left w:val="single" w:color="auto" w:sz="4" w:space="0"/>
              <w:bottom w:val="single" w:color="auto" w:sz="4" w:space="0"/>
              <w:right w:val="single" w:color="auto" w:sz="4" w:space="0"/>
            </w:tcBorders>
            <w:vAlign w:val="center"/>
          </w:tcPr>
          <w:p>
            <w:pPr>
              <w:spacing w:line="312" w:lineRule="auto"/>
            </w:pPr>
            <w:r>
              <w:rPr>
                <w:rFonts w:hint="eastAsia"/>
              </w:rPr>
              <w:t>投标人承诺2021年4月30日出具2020年度报告的得7分，每提前一天完成的加1分。本项满分10分。</w:t>
            </w:r>
          </w:p>
          <w:p>
            <w:pPr>
              <w:spacing w:line="312" w:lineRule="auto"/>
            </w:pPr>
            <w:r>
              <w:rPr>
                <w:rFonts w:hint="eastAsia"/>
                <w:b/>
                <w:bCs/>
              </w:rPr>
              <w:t>须提供承诺书，承诺书格式自拟。</w:t>
            </w:r>
          </w:p>
        </w:tc>
      </w:tr>
    </w:tbl>
    <w:p>
      <w:pPr>
        <w:spacing w:line="312" w:lineRule="auto"/>
        <w:rPr>
          <w:b/>
          <w:bCs/>
        </w:rPr>
      </w:pPr>
      <w:r>
        <w:rPr>
          <w:rFonts w:hint="eastAsia" w:hAnsi="宋体"/>
          <w:b/>
          <w:bCs/>
        </w:rPr>
        <w:t>三、商务标部分（满分</w:t>
      </w:r>
      <w:r>
        <w:rPr>
          <w:rFonts w:hint="eastAsia"/>
          <w:b/>
          <w:bCs/>
        </w:rPr>
        <w:t>10</w:t>
      </w:r>
      <w:r>
        <w:rPr>
          <w:rFonts w:hint="eastAsia" w:hAnsi="宋体"/>
          <w:b/>
          <w:bCs/>
        </w:rPr>
        <w:t>分）</w:t>
      </w:r>
    </w:p>
    <w:tbl>
      <w:tblPr>
        <w:tblStyle w:val="31"/>
        <w:tblW w:w="8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14"/>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szCs w:val="21"/>
              </w:rPr>
            </w:pPr>
            <w:r>
              <w:rPr>
                <w:rFonts w:hint="eastAsia"/>
                <w:szCs w:val="21"/>
              </w:rPr>
              <w:t>1</w:t>
            </w:r>
          </w:p>
        </w:tc>
        <w:tc>
          <w:tcPr>
            <w:tcW w:w="1414" w:type="dxa"/>
            <w:tcBorders>
              <w:top w:val="single" w:color="auto" w:sz="4" w:space="0"/>
              <w:left w:val="nil"/>
              <w:bottom w:val="single" w:color="auto" w:sz="4" w:space="0"/>
              <w:right w:val="single" w:color="auto" w:sz="4" w:space="0"/>
            </w:tcBorders>
            <w:vAlign w:val="center"/>
          </w:tcPr>
          <w:p>
            <w:pPr>
              <w:spacing w:line="312" w:lineRule="auto"/>
              <w:jc w:val="center"/>
              <w:rPr>
                <w:rFonts w:hAnsi="宋体"/>
                <w:szCs w:val="21"/>
              </w:rPr>
            </w:pPr>
            <w:r>
              <w:rPr>
                <w:rFonts w:hint="eastAsia" w:hAnsi="宋体"/>
                <w:szCs w:val="21"/>
              </w:rPr>
              <w:t>审计费用</w:t>
            </w:r>
          </w:p>
          <w:p>
            <w:pPr>
              <w:spacing w:line="312" w:lineRule="auto"/>
              <w:jc w:val="center"/>
              <w:rPr>
                <w:szCs w:val="21"/>
              </w:rPr>
            </w:pPr>
            <w:r>
              <w:rPr>
                <w:rFonts w:hint="eastAsia" w:hAnsi="宋体"/>
                <w:szCs w:val="21"/>
              </w:rPr>
              <w:t>（</w:t>
            </w:r>
            <w:r>
              <w:rPr>
                <w:rFonts w:hint="eastAsia"/>
                <w:szCs w:val="21"/>
              </w:rPr>
              <w:t>10</w:t>
            </w:r>
            <w:r>
              <w:rPr>
                <w:rFonts w:hint="eastAsia" w:hAnsi="宋体"/>
                <w:szCs w:val="21"/>
              </w:rPr>
              <w:t>分）</w:t>
            </w:r>
          </w:p>
        </w:tc>
        <w:tc>
          <w:tcPr>
            <w:tcW w:w="6397" w:type="dxa"/>
            <w:tcBorders>
              <w:top w:val="single" w:color="auto" w:sz="4" w:space="0"/>
              <w:left w:val="nil"/>
              <w:bottom w:val="single" w:color="auto" w:sz="4" w:space="0"/>
              <w:right w:val="single" w:color="auto" w:sz="4" w:space="0"/>
            </w:tcBorders>
            <w:vAlign w:val="center"/>
          </w:tcPr>
          <w:p>
            <w:pPr>
              <w:spacing w:line="400" w:lineRule="exact"/>
              <w:ind w:left="40"/>
              <w:rPr>
                <w:rFonts w:ascii="宋体" w:hAnsi="宋体" w:cs="宋体"/>
                <w:szCs w:val="21"/>
              </w:rPr>
            </w:pPr>
            <w:bookmarkStart w:id="106" w:name="_Toc213"/>
            <w:bookmarkStart w:id="107" w:name="_Toc9093"/>
            <w:r>
              <w:rPr>
                <w:rFonts w:hint="eastAsia"/>
                <w:szCs w:val="21"/>
              </w:rPr>
              <w:t>以各投标人有效承销费用报价的算术平均值为评标基准价（保留小数点后</w:t>
            </w:r>
            <w:r>
              <w:rPr>
                <w:szCs w:val="21"/>
              </w:rPr>
              <w:t>2</w:t>
            </w:r>
            <w:r>
              <w:rPr>
                <w:rFonts w:hint="eastAsia"/>
                <w:szCs w:val="21"/>
              </w:rPr>
              <w:t>位），按照各投标单位报价偏离评标基准价的程度进行评分，</w:t>
            </w:r>
            <w:bookmarkEnd w:id="106"/>
            <w:bookmarkEnd w:id="107"/>
            <w:r>
              <w:rPr>
                <w:rFonts w:hint="eastAsia" w:ascii="宋体" w:hAnsi="宋体" w:cs="宋体"/>
                <w:szCs w:val="21"/>
              </w:rPr>
              <w:t>招标人设置投标报价最高限价，各投标人有效报价不得高于最高限价，否则，其投标文件按无效标处理。</w:t>
            </w:r>
          </w:p>
          <w:p>
            <w:pPr>
              <w:tabs>
                <w:tab w:val="left" w:pos="1080"/>
              </w:tabs>
              <w:spacing w:line="400" w:lineRule="exact"/>
              <w:ind w:left="40"/>
              <w:rPr>
                <w:rFonts w:ascii="宋体" w:hAnsi="宋体" w:cs="宋体"/>
                <w:szCs w:val="21"/>
              </w:rPr>
            </w:pPr>
            <w:r>
              <w:rPr>
                <w:rFonts w:hint="eastAsia" w:ascii="宋体" w:hAnsi="宋体" w:cs="宋体"/>
                <w:szCs w:val="21"/>
              </w:rPr>
              <w:t>1、评标基准价的确定</w:t>
            </w:r>
            <w:r>
              <w:rPr>
                <w:rFonts w:hint="eastAsia" w:ascii="宋体" w:hAnsi="宋体" w:cs="宋体"/>
                <w:color w:val="000000"/>
                <w:szCs w:val="21"/>
              </w:rPr>
              <w:t>=</w:t>
            </w:r>
            <w:r>
              <w:rPr>
                <w:rFonts w:hint="eastAsia" w:ascii="宋体" w:hAnsi="宋体" w:cs="宋体"/>
                <w:color w:val="000000"/>
                <w:szCs w:val="21"/>
                <w:u w:val="single"/>
              </w:rPr>
              <w:t>所有有效投标人的平均值</w:t>
            </w:r>
            <w:r>
              <w:rPr>
                <w:rFonts w:hint="eastAsia" w:ascii="宋体" w:hAnsi="宋体" w:cs="宋体"/>
                <w:color w:val="auto"/>
                <w:szCs w:val="21"/>
                <w:u w:val="single"/>
              </w:rPr>
              <w:t>报价</w:t>
            </w:r>
            <w:r>
              <w:rPr>
                <w:rFonts w:hint="eastAsia" w:ascii="宋体" w:hAnsi="宋体" w:cs="宋体"/>
                <w:color w:val="auto"/>
                <w:szCs w:val="21"/>
              </w:rPr>
              <w:t>（含</w:t>
            </w:r>
            <w:r>
              <w:rPr>
                <w:rFonts w:hint="eastAsia" w:ascii="宋体" w:hAnsi="宋体" w:cs="宋体"/>
                <w:szCs w:val="21"/>
              </w:rPr>
              <w:t>扣除后价格）；</w:t>
            </w:r>
          </w:p>
          <w:p>
            <w:pPr>
              <w:tabs>
                <w:tab w:val="left" w:pos="1080"/>
              </w:tabs>
              <w:spacing w:line="400" w:lineRule="exact"/>
              <w:ind w:left="40"/>
              <w:jc w:val="left"/>
              <w:rPr>
                <w:rFonts w:ascii="宋体" w:hAnsi="宋体" w:cs="宋体"/>
                <w:szCs w:val="21"/>
              </w:rPr>
            </w:pPr>
            <w:r>
              <w:rPr>
                <w:rFonts w:hint="eastAsia" w:ascii="宋体" w:hAnsi="宋体" w:cs="宋体"/>
                <w:szCs w:val="21"/>
              </w:rPr>
              <w:t>2、投标报价得分=[ 1-|(最终报价-基准价)|/基准价]*分值，评分过程中，数据的计算过程和计算结果均保留两位小数，小数点后第三位四舍五入。</w:t>
            </w:r>
          </w:p>
          <w:p>
            <w:pPr>
              <w:tabs>
                <w:tab w:val="left" w:pos="1080"/>
              </w:tabs>
              <w:spacing w:line="400" w:lineRule="exact"/>
              <w:ind w:left="40"/>
              <w:jc w:val="left"/>
              <w:rPr>
                <w:szCs w:val="21"/>
              </w:rPr>
            </w:pPr>
            <w:r>
              <w:rPr>
                <w:rFonts w:hint="eastAsia" w:ascii="宋体" w:hAnsi="宋体" w:cs="宋体"/>
                <w:szCs w:val="21"/>
              </w:rPr>
              <w:t>3、本项分值由评标委员会负责组织计算。</w:t>
            </w:r>
          </w:p>
        </w:tc>
      </w:tr>
    </w:tbl>
    <w:p>
      <w:pPr>
        <w:spacing w:line="312" w:lineRule="auto"/>
        <w:rPr>
          <w:rFonts w:ascii="宋体" w:cs="宋体"/>
          <w:b/>
          <w:szCs w:val="21"/>
        </w:rPr>
      </w:pPr>
      <w:r>
        <w:rPr>
          <w:rFonts w:hint="eastAsia" w:ascii="宋体" w:cs="宋体"/>
          <w:b/>
          <w:szCs w:val="21"/>
        </w:rPr>
        <w:t>特别说明：</w:t>
      </w:r>
    </w:p>
    <w:p>
      <w:pPr>
        <w:spacing w:line="312" w:lineRule="auto"/>
        <w:ind w:firstLine="205" w:firstLineChars="98"/>
        <w:rPr>
          <w:rFonts w:ascii="宋体" w:hAnsi="宋体"/>
          <w:szCs w:val="21"/>
        </w:rPr>
      </w:pPr>
      <w:r>
        <w:rPr>
          <w:rFonts w:hint="eastAsia" w:ascii="宋体" w:hAnsi="宋体"/>
          <w:szCs w:val="21"/>
        </w:rPr>
        <w:t xml:space="preserve"> 1.只有通过资格审查、技术标、商务评审的投标人才能参加评分。</w:t>
      </w:r>
    </w:p>
    <w:p>
      <w:pPr>
        <w:spacing w:line="312" w:lineRule="auto"/>
        <w:ind w:firstLine="315" w:firstLineChars="150"/>
        <w:rPr>
          <w:rFonts w:ascii="宋体" w:hAnsi="宋体"/>
          <w:szCs w:val="21"/>
        </w:rPr>
      </w:pPr>
      <w:r>
        <w:rPr>
          <w:rFonts w:hint="eastAsia" w:ascii="宋体" w:hAnsi="宋体"/>
          <w:szCs w:val="21"/>
        </w:rPr>
        <w:t>2.本表所称投标报价是指按招标文件规定修正后的投标总报价（多算投标报价、多报费用不扣减）。</w:t>
      </w:r>
    </w:p>
    <w:p>
      <w:pPr>
        <w:spacing w:line="312" w:lineRule="auto"/>
        <w:ind w:firstLine="316" w:firstLineChars="150"/>
        <w:rPr>
          <w:b/>
          <w:szCs w:val="21"/>
        </w:rPr>
      </w:pPr>
      <w:r>
        <w:rPr>
          <w:rFonts w:hint="eastAsia"/>
          <w:b/>
          <w:szCs w:val="21"/>
        </w:rPr>
        <w:t>3.评标专家检验上述材料，如果由于投标人自身原因导致评标专家无法查看并检验纸质标书中以上相关资料的，后果有投标人自行承担。</w:t>
      </w:r>
    </w:p>
    <w:p>
      <w:pPr>
        <w:spacing w:line="312" w:lineRule="auto"/>
        <w:ind w:firstLine="316" w:firstLineChars="150"/>
        <w:outlineLvl w:val="1"/>
        <w:rPr>
          <w:rFonts w:ascii="宋体" w:cs="宋体"/>
          <w:b/>
          <w:szCs w:val="21"/>
        </w:rPr>
      </w:pPr>
      <w:bookmarkStart w:id="108" w:name="_Toc17707"/>
      <w:bookmarkStart w:id="109" w:name="_Toc523218559"/>
      <w:bookmarkStart w:id="110" w:name="_Toc19191220"/>
      <w:bookmarkStart w:id="111" w:name="_Toc18374"/>
      <w:r>
        <w:rPr>
          <w:rFonts w:hint="eastAsia"/>
          <w:b/>
          <w:szCs w:val="21"/>
        </w:rPr>
        <w:t>4.以上分值均保留二位小数，小数点后第三位四舍五入。</w:t>
      </w:r>
      <w:bookmarkEnd w:id="108"/>
      <w:bookmarkEnd w:id="109"/>
      <w:bookmarkEnd w:id="110"/>
      <w:bookmarkEnd w:id="111"/>
    </w:p>
    <w:bookmarkEnd w:id="103"/>
    <w:p>
      <w:pPr>
        <w:spacing w:line="312" w:lineRule="auto"/>
        <w:jc w:val="center"/>
        <w:outlineLvl w:val="1"/>
        <w:rPr>
          <w:rFonts w:ascii="宋体"/>
          <w:b/>
          <w:sz w:val="24"/>
        </w:rPr>
      </w:pPr>
      <w:bookmarkStart w:id="112" w:name="_Toc24965"/>
      <w:bookmarkStart w:id="113" w:name="_Toc15480"/>
      <w:r>
        <w:rPr>
          <w:rFonts w:hint="eastAsia" w:ascii="宋体"/>
          <w:b/>
          <w:sz w:val="24"/>
        </w:rPr>
        <w:t>五  推荐中标候选人</w:t>
      </w:r>
      <w:bookmarkEnd w:id="104"/>
      <w:bookmarkEnd w:id="105"/>
      <w:bookmarkEnd w:id="112"/>
      <w:bookmarkEnd w:id="113"/>
    </w:p>
    <w:bookmarkEnd w:id="90"/>
    <w:p>
      <w:pPr>
        <w:snapToGrid w:val="0"/>
        <w:spacing w:line="400" w:lineRule="exact"/>
        <w:ind w:firstLine="570"/>
        <w:jc w:val="left"/>
        <w:rPr>
          <w:rFonts w:ascii="宋体"/>
          <w:szCs w:val="21"/>
        </w:rPr>
      </w:pPr>
      <w:r>
        <w:rPr>
          <w:rFonts w:hint="eastAsia" w:ascii="宋体"/>
          <w:szCs w:val="21"/>
        </w:rPr>
        <w:t xml:space="preserve">7.评标委员会按总得分，从高到低按顺序，推荐 </w:t>
      </w:r>
      <w:r>
        <w:rPr>
          <w:rFonts w:hint="eastAsia" w:ascii="宋体"/>
          <w:szCs w:val="21"/>
          <w:u w:val="single"/>
        </w:rPr>
        <w:t>2</w:t>
      </w:r>
      <w:r>
        <w:rPr>
          <w:rFonts w:hint="eastAsia" w:ascii="宋体"/>
          <w:szCs w:val="21"/>
        </w:rPr>
        <w:t xml:space="preserve"> 名中标候选人。</w:t>
      </w:r>
    </w:p>
    <w:p>
      <w:pPr>
        <w:snapToGrid w:val="0"/>
        <w:spacing w:line="400" w:lineRule="exact"/>
        <w:ind w:firstLine="570"/>
        <w:jc w:val="left"/>
        <w:rPr>
          <w:rFonts w:ascii="宋体"/>
          <w:szCs w:val="21"/>
        </w:rPr>
      </w:pPr>
      <w:r>
        <w:rPr>
          <w:rFonts w:hint="eastAsia" w:ascii="宋体"/>
          <w:szCs w:val="21"/>
        </w:rPr>
        <w:t>7.1得分相同的，按报价由低到高顺序排列推荐中标候选人；</w:t>
      </w:r>
    </w:p>
    <w:p>
      <w:pPr>
        <w:snapToGrid w:val="0"/>
        <w:spacing w:line="400" w:lineRule="exact"/>
        <w:ind w:firstLine="570"/>
        <w:jc w:val="left"/>
        <w:rPr>
          <w:rFonts w:ascii="宋体" w:hAnsi="宋体"/>
          <w:sz w:val="24"/>
        </w:rPr>
      </w:pPr>
      <w:r>
        <w:rPr>
          <w:rFonts w:hint="eastAsia" w:ascii="宋体"/>
          <w:szCs w:val="21"/>
        </w:rPr>
        <w:t>7.2得分和商务标报价均相同，则由招标人现场采取随机摇号的方式推荐中标候选人。</w:t>
      </w:r>
    </w:p>
    <w:p>
      <w:pPr>
        <w:snapToGrid w:val="0"/>
        <w:spacing w:line="440" w:lineRule="exact"/>
        <w:ind w:firstLine="480"/>
        <w:rPr>
          <w:rFonts w:ascii="宋体" w:hAnsi="宋体"/>
          <w:b/>
          <w:szCs w:val="21"/>
        </w:rPr>
      </w:pPr>
      <w:r>
        <w:rPr>
          <w:rFonts w:hint="eastAsia" w:ascii="宋体" w:hAnsi="宋体"/>
          <w:b/>
          <w:szCs w:val="21"/>
        </w:rPr>
        <w:t>8.废标条款</w:t>
      </w:r>
    </w:p>
    <w:p>
      <w:pPr>
        <w:snapToGrid w:val="0"/>
        <w:spacing w:line="360" w:lineRule="auto"/>
        <w:ind w:firstLine="420" w:firstLineChars="200"/>
        <w:rPr>
          <w:rFonts w:ascii="宋体" w:hAnsi="宋体" w:cs="宋体"/>
          <w:szCs w:val="21"/>
        </w:rPr>
      </w:pPr>
      <w:r>
        <w:rPr>
          <w:rFonts w:hint="eastAsia" w:ascii="宋体" w:hAnsi="宋体" w:cs="宋体"/>
          <w:szCs w:val="21"/>
        </w:rPr>
        <w:t>8.1投标文件有下列情形之一的,其投标文件拒收:</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(1)投标文件逾期送达的或未送达指定地点的；</w:t>
      </w:r>
    </w:p>
    <w:p>
      <w:pPr>
        <w:snapToGrid w:val="0"/>
        <w:spacing w:line="360" w:lineRule="auto"/>
        <w:ind w:firstLine="420" w:firstLineChars="200"/>
        <w:rPr>
          <w:rFonts w:ascii="宋体" w:hAnsi="宋体" w:cs="宋体"/>
          <w:szCs w:val="21"/>
        </w:rPr>
      </w:pPr>
      <w:r>
        <w:rPr>
          <w:rFonts w:hint="eastAsia" w:ascii="宋体" w:hAnsi="宋体" w:cs="宋体"/>
          <w:szCs w:val="21"/>
        </w:rPr>
        <w:t>(2)投标文件未按要求密封，招标人及代理公司应报经监管部门批准后拒收；</w:t>
      </w:r>
    </w:p>
    <w:p>
      <w:pPr>
        <w:snapToGrid w:val="0"/>
        <w:spacing w:line="360" w:lineRule="auto"/>
        <w:ind w:firstLine="420" w:firstLineChars="200"/>
        <w:rPr>
          <w:rFonts w:ascii="宋体" w:hAnsi="宋体" w:cs="宋体"/>
          <w:szCs w:val="21"/>
        </w:rPr>
      </w:pPr>
      <w:r>
        <w:rPr>
          <w:rFonts w:hint="eastAsia" w:ascii="宋体" w:hAnsi="宋体" w:cs="宋体"/>
          <w:szCs w:val="21"/>
        </w:rPr>
        <w:t>（3）其它情形，经招标人和代理公司提出拒收，并经监管部门批准的；</w:t>
      </w:r>
    </w:p>
    <w:p>
      <w:pPr>
        <w:snapToGrid w:val="0"/>
        <w:spacing w:line="360" w:lineRule="auto"/>
        <w:ind w:firstLine="420" w:firstLineChars="200"/>
        <w:rPr>
          <w:rFonts w:ascii="宋体" w:hAnsi="宋体" w:cs="宋体"/>
          <w:szCs w:val="21"/>
        </w:rPr>
      </w:pPr>
      <w:r>
        <w:rPr>
          <w:rFonts w:hint="eastAsia" w:ascii="宋体" w:hAnsi="宋体" w:cs="宋体"/>
          <w:szCs w:val="21"/>
        </w:rPr>
        <w:t>8.2投标人有下列情形之一的,资格审查后其投标作废标处理：</w:t>
      </w:r>
    </w:p>
    <w:p>
      <w:pPr>
        <w:snapToGrid w:val="0"/>
        <w:spacing w:line="360" w:lineRule="auto"/>
        <w:ind w:firstLine="420" w:firstLineChars="200"/>
        <w:rPr>
          <w:rFonts w:ascii="宋体" w:hAnsi="宋体" w:cs="宋体"/>
          <w:szCs w:val="21"/>
        </w:rPr>
      </w:pPr>
      <w:r>
        <w:rPr>
          <w:rFonts w:hint="eastAsia" w:ascii="宋体" w:hAnsi="宋体" w:cs="宋体"/>
          <w:szCs w:val="21"/>
        </w:rPr>
        <w:t>(1)法定代表人参加开标会议未携带有效的法定代表人身份证明原件和本人身份证的；委托代理人参加开标会议未携带有效的法定代表人授权书和本人身份证；（本条不采用）</w:t>
      </w:r>
    </w:p>
    <w:p>
      <w:pPr>
        <w:snapToGrid w:val="0"/>
        <w:spacing w:line="360" w:lineRule="auto"/>
        <w:ind w:firstLine="420" w:firstLineChars="200"/>
        <w:rPr>
          <w:rFonts w:ascii="宋体" w:hAnsi="宋体" w:cs="宋体"/>
          <w:szCs w:val="21"/>
        </w:rPr>
      </w:pPr>
      <w:r>
        <w:rPr>
          <w:rFonts w:hint="eastAsia" w:ascii="宋体" w:hAnsi="宋体" w:cs="宋体"/>
          <w:szCs w:val="21"/>
        </w:rPr>
        <w:t>(2)投标人为本项目提供招标代理服务的；</w:t>
      </w:r>
    </w:p>
    <w:p>
      <w:pPr>
        <w:snapToGrid w:val="0"/>
        <w:spacing w:line="360" w:lineRule="auto"/>
        <w:ind w:firstLine="420" w:firstLineChars="200"/>
        <w:rPr>
          <w:rFonts w:ascii="宋体" w:hAnsi="宋体" w:cs="宋体"/>
          <w:szCs w:val="21"/>
        </w:rPr>
      </w:pPr>
      <w:r>
        <w:rPr>
          <w:rFonts w:hint="eastAsia" w:ascii="宋体" w:hAnsi="宋体" w:cs="宋体"/>
          <w:szCs w:val="21"/>
        </w:rPr>
        <w:t>(3)投标人与在本项目代理机构存在相互任职或工作的；</w:t>
      </w:r>
    </w:p>
    <w:p>
      <w:pPr>
        <w:snapToGrid w:val="0"/>
        <w:spacing w:line="360" w:lineRule="auto"/>
        <w:ind w:firstLine="420" w:firstLineChars="200"/>
        <w:rPr>
          <w:rFonts w:ascii="宋体" w:hAnsi="宋体" w:cs="宋体"/>
          <w:szCs w:val="21"/>
        </w:rPr>
      </w:pPr>
      <w:r>
        <w:rPr>
          <w:rFonts w:hint="eastAsia" w:ascii="宋体" w:hAnsi="宋体" w:cs="宋体"/>
          <w:szCs w:val="21"/>
        </w:rPr>
        <w:t>(4)投标保证金未按规定要求缴纳的；</w:t>
      </w:r>
    </w:p>
    <w:p>
      <w:pPr>
        <w:snapToGrid w:val="0"/>
        <w:spacing w:line="360" w:lineRule="auto"/>
        <w:ind w:firstLine="420" w:firstLineChars="200"/>
        <w:rPr>
          <w:rFonts w:ascii="宋体" w:hAnsi="宋体" w:cs="宋体"/>
          <w:szCs w:val="21"/>
        </w:rPr>
      </w:pPr>
      <w:r>
        <w:rPr>
          <w:rFonts w:hint="eastAsia" w:ascii="宋体" w:hAnsi="宋体" w:cs="宋体"/>
          <w:szCs w:val="21"/>
        </w:rPr>
        <w:t>(5)评标专家无法查看并检验纸质标书中相关资料的；</w:t>
      </w:r>
    </w:p>
    <w:p>
      <w:pPr>
        <w:snapToGrid w:val="0"/>
        <w:spacing w:line="360" w:lineRule="auto"/>
        <w:ind w:firstLine="420" w:firstLineChars="200"/>
        <w:rPr>
          <w:rFonts w:ascii="宋体" w:hAnsi="宋体" w:cs="宋体"/>
          <w:szCs w:val="21"/>
        </w:rPr>
      </w:pPr>
      <w:r>
        <w:rPr>
          <w:rFonts w:hint="eastAsia" w:ascii="宋体" w:hAnsi="宋体" w:cs="宋体"/>
          <w:szCs w:val="21"/>
        </w:rPr>
        <w:t>(6)投标人超出营业范围投标的；</w:t>
      </w:r>
    </w:p>
    <w:p>
      <w:pPr>
        <w:snapToGrid w:val="0"/>
        <w:spacing w:line="360" w:lineRule="auto"/>
        <w:ind w:firstLine="420" w:firstLineChars="200"/>
        <w:rPr>
          <w:rFonts w:ascii="宋体" w:hAnsi="宋体" w:cs="宋体"/>
          <w:szCs w:val="21"/>
        </w:rPr>
      </w:pPr>
      <w:r>
        <w:rPr>
          <w:rFonts w:hint="eastAsia" w:ascii="宋体" w:hAnsi="宋体" w:cs="宋体"/>
          <w:szCs w:val="21"/>
        </w:rPr>
        <w:t>(7)联合体投标未提交联合体协议的；</w:t>
      </w:r>
    </w:p>
    <w:p>
      <w:pPr>
        <w:snapToGrid w:val="0"/>
        <w:spacing w:line="360" w:lineRule="auto"/>
        <w:ind w:firstLine="420" w:firstLineChars="200"/>
        <w:rPr>
          <w:rFonts w:ascii="宋体" w:hAnsi="宋体" w:cs="宋体"/>
          <w:szCs w:val="21"/>
        </w:rPr>
      </w:pPr>
      <w:r>
        <w:rPr>
          <w:rFonts w:hint="eastAsia" w:ascii="宋体" w:hAnsi="宋体" w:cs="宋体"/>
          <w:szCs w:val="21"/>
        </w:rPr>
        <w:t>(8)被暂停营业的；</w:t>
      </w:r>
    </w:p>
    <w:p>
      <w:pPr>
        <w:snapToGrid w:val="0"/>
        <w:spacing w:line="360" w:lineRule="auto"/>
        <w:ind w:firstLine="420" w:firstLineChars="200"/>
        <w:rPr>
          <w:rFonts w:ascii="宋体" w:hAnsi="宋体" w:cs="宋体"/>
          <w:szCs w:val="21"/>
        </w:rPr>
      </w:pPr>
      <w:r>
        <w:rPr>
          <w:rFonts w:hint="eastAsia" w:ascii="宋体" w:hAnsi="宋体" w:cs="宋体"/>
          <w:szCs w:val="21"/>
        </w:rPr>
        <w:t>(9)被暂停或取消投标资格的；</w:t>
      </w:r>
    </w:p>
    <w:p>
      <w:pPr>
        <w:snapToGrid w:val="0"/>
        <w:spacing w:line="360" w:lineRule="auto"/>
        <w:ind w:firstLine="420" w:firstLineChars="200"/>
        <w:rPr>
          <w:rFonts w:ascii="宋体" w:hAnsi="宋体" w:cs="宋体"/>
          <w:szCs w:val="21"/>
        </w:rPr>
      </w:pPr>
      <w:r>
        <w:rPr>
          <w:rFonts w:hint="eastAsia" w:ascii="宋体" w:hAnsi="宋体" w:cs="宋体"/>
          <w:szCs w:val="21"/>
        </w:rPr>
        <w:t>(10)财产被接管或冻结的；</w:t>
      </w:r>
    </w:p>
    <w:p>
      <w:pPr>
        <w:snapToGrid w:val="0"/>
        <w:spacing w:line="360" w:lineRule="auto"/>
        <w:ind w:firstLine="420" w:firstLineChars="200"/>
        <w:rPr>
          <w:rFonts w:ascii="宋体" w:hAnsi="宋体" w:cs="宋体"/>
          <w:szCs w:val="21"/>
        </w:rPr>
      </w:pPr>
      <w:r>
        <w:rPr>
          <w:rFonts w:hint="eastAsia" w:ascii="宋体" w:hAnsi="宋体" w:cs="宋体"/>
          <w:szCs w:val="21"/>
        </w:rPr>
        <w:t>(11)投标人单位负责人为同一人或者存在控股、管理关系的不同单位的；</w:t>
      </w:r>
    </w:p>
    <w:p>
      <w:pPr>
        <w:snapToGrid w:val="0"/>
        <w:spacing w:line="360" w:lineRule="auto"/>
        <w:ind w:firstLine="420" w:firstLineChars="200"/>
        <w:rPr>
          <w:rFonts w:ascii="宋体" w:hAnsi="宋体" w:cs="宋体"/>
          <w:szCs w:val="21"/>
        </w:rPr>
      </w:pPr>
      <w:r>
        <w:rPr>
          <w:rFonts w:hint="eastAsia" w:ascii="宋体" w:hAnsi="宋体" w:cs="宋体"/>
          <w:szCs w:val="21"/>
        </w:rPr>
        <w:t>（12）投标人基本资格条件和特定资格条件中有一项及以上不符合要求的；</w:t>
      </w:r>
    </w:p>
    <w:p>
      <w:pPr>
        <w:snapToGrid w:val="0"/>
        <w:spacing w:line="360" w:lineRule="auto"/>
        <w:ind w:firstLine="420" w:firstLineChars="200"/>
        <w:rPr>
          <w:rFonts w:ascii="宋体" w:hAnsi="宋体" w:cs="宋体"/>
          <w:szCs w:val="21"/>
        </w:rPr>
      </w:pPr>
      <w:r>
        <w:rPr>
          <w:rFonts w:hint="eastAsia" w:ascii="宋体" w:hAnsi="宋体" w:cs="宋体"/>
          <w:szCs w:val="21"/>
        </w:rPr>
        <w:t>（13）其它情形，经评标委员会委提出按无效投标处理；</w:t>
      </w:r>
    </w:p>
    <w:p>
      <w:pPr>
        <w:snapToGrid w:val="0"/>
        <w:spacing w:line="360" w:lineRule="auto"/>
        <w:ind w:firstLine="420" w:firstLineChars="200"/>
        <w:rPr>
          <w:rFonts w:ascii="宋体" w:hAnsi="宋体" w:cs="宋体"/>
          <w:szCs w:val="21"/>
        </w:rPr>
      </w:pPr>
      <w:r>
        <w:rPr>
          <w:rFonts w:hint="eastAsia" w:ascii="宋体" w:hAnsi="宋体" w:cs="宋体"/>
          <w:szCs w:val="21"/>
        </w:rPr>
        <w:t>（14）招标文件规定的其它无效投标情形。</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   8.3 投标人有下列情形之一的,符合性审查后其投标按无效投标处理：</w:t>
      </w:r>
    </w:p>
    <w:p>
      <w:pPr>
        <w:snapToGrid w:val="0"/>
        <w:spacing w:line="360" w:lineRule="auto"/>
        <w:ind w:firstLine="420" w:firstLineChars="200"/>
        <w:rPr>
          <w:rFonts w:ascii="宋体" w:hAnsi="宋体" w:cs="宋体"/>
          <w:szCs w:val="21"/>
        </w:rPr>
      </w:pPr>
      <w:r>
        <w:rPr>
          <w:rFonts w:hint="eastAsia" w:ascii="宋体" w:hAnsi="宋体" w:cs="宋体"/>
          <w:szCs w:val="21"/>
        </w:rPr>
        <w:t>(1)投标文件签字、盖章不全，经评标委员会一致认定对开评标内容有实质性影响的；</w:t>
      </w:r>
    </w:p>
    <w:p>
      <w:pPr>
        <w:snapToGrid w:val="0"/>
        <w:spacing w:line="360" w:lineRule="auto"/>
        <w:ind w:firstLine="420" w:firstLineChars="200"/>
        <w:rPr>
          <w:rFonts w:ascii="宋体" w:hAnsi="宋体" w:cs="宋体"/>
          <w:szCs w:val="21"/>
        </w:rPr>
      </w:pPr>
      <w:r>
        <w:rPr>
          <w:rFonts w:hint="eastAsia" w:ascii="宋体" w:hAnsi="宋体" w:cs="宋体"/>
          <w:szCs w:val="21"/>
        </w:rPr>
        <w:t xml:space="preserve">(2)未按规定的格式填写，实质性内容不全或关键字迹模糊、无法辨认； </w:t>
      </w:r>
    </w:p>
    <w:p>
      <w:pPr>
        <w:snapToGrid w:val="0"/>
        <w:spacing w:line="360" w:lineRule="auto"/>
        <w:ind w:firstLine="420" w:firstLineChars="200"/>
        <w:rPr>
          <w:rFonts w:ascii="宋体" w:hAnsi="宋体" w:cs="宋体"/>
          <w:szCs w:val="21"/>
        </w:rPr>
      </w:pPr>
      <w:r>
        <w:rPr>
          <w:rFonts w:hint="eastAsia" w:ascii="宋体" w:hAnsi="宋体" w:cs="宋体"/>
          <w:szCs w:val="21"/>
        </w:rPr>
        <w:t>(3)同一投标人提交两个以上不同的投标文件或者投标报价，但招标文件规定提交备选方案的除外；</w:t>
      </w:r>
    </w:p>
    <w:p>
      <w:pPr>
        <w:snapToGrid w:val="0"/>
        <w:spacing w:line="360" w:lineRule="auto"/>
        <w:ind w:firstLine="420" w:firstLineChars="200"/>
        <w:rPr>
          <w:rFonts w:ascii="宋体" w:hAnsi="宋体" w:cs="宋体"/>
          <w:szCs w:val="21"/>
        </w:rPr>
      </w:pPr>
      <w:r>
        <w:rPr>
          <w:rFonts w:hint="eastAsia" w:ascii="宋体" w:hAnsi="宋体" w:cs="宋体"/>
          <w:szCs w:val="21"/>
        </w:rPr>
        <w:t>(4)投标文件没有对招标文件的实质性要求和条件作出响应；</w:t>
      </w:r>
    </w:p>
    <w:p>
      <w:pPr>
        <w:snapToGrid w:val="0"/>
        <w:spacing w:line="360" w:lineRule="auto"/>
        <w:ind w:firstLine="420" w:firstLineChars="200"/>
        <w:rPr>
          <w:rFonts w:ascii="宋体" w:hAnsi="宋体" w:cs="宋体"/>
          <w:szCs w:val="21"/>
        </w:rPr>
      </w:pPr>
      <w:r>
        <w:rPr>
          <w:rFonts w:hint="eastAsia" w:ascii="宋体" w:hAnsi="宋体" w:cs="宋体"/>
          <w:szCs w:val="21"/>
        </w:rPr>
        <w:t>(5)投标报价超出规定的投标限价或公布的采购预算的或投标人的投标报价各项单价高于招标文件给定的单价最高限价；</w:t>
      </w:r>
    </w:p>
    <w:p>
      <w:pPr>
        <w:snapToGrid w:val="0"/>
        <w:spacing w:line="360" w:lineRule="auto"/>
        <w:ind w:firstLine="420" w:firstLineChars="200"/>
        <w:rPr>
          <w:rFonts w:ascii="宋体" w:hAnsi="宋体" w:cs="宋体"/>
          <w:szCs w:val="21"/>
        </w:rPr>
      </w:pPr>
      <w:r>
        <w:rPr>
          <w:rFonts w:hint="eastAsia" w:ascii="宋体" w:hAnsi="宋体" w:cs="宋体"/>
          <w:szCs w:val="21"/>
        </w:rPr>
        <w:t>(7)不按评标委员会要求澄清、说明或补正的，或者评标委员会根据招标文件的规定对招标文件的计算错误进行修正后，投标人不接受修正的投标报价的。</w:t>
      </w:r>
    </w:p>
    <w:p>
      <w:pPr>
        <w:snapToGrid w:val="0"/>
        <w:spacing w:line="360" w:lineRule="auto"/>
        <w:ind w:firstLine="420" w:firstLineChars="200"/>
        <w:rPr>
          <w:rFonts w:ascii="宋体" w:hAnsi="宋体" w:cs="宋体"/>
          <w:szCs w:val="21"/>
        </w:rPr>
      </w:pPr>
      <w:r>
        <w:rPr>
          <w:rFonts w:hint="eastAsia" w:ascii="宋体" w:hAnsi="宋体" w:cs="宋体"/>
          <w:szCs w:val="21"/>
        </w:rPr>
        <w:t>（8）其它情形，经评标委员会委提出按无效投标处理；</w:t>
      </w:r>
    </w:p>
    <w:p>
      <w:pPr>
        <w:snapToGrid w:val="0"/>
        <w:spacing w:line="360" w:lineRule="auto"/>
        <w:ind w:firstLine="420" w:firstLineChars="200"/>
        <w:rPr>
          <w:rFonts w:ascii="宋体" w:hAnsi="宋体" w:cs="宋体"/>
          <w:szCs w:val="21"/>
        </w:rPr>
      </w:pPr>
      <w:r>
        <w:rPr>
          <w:rFonts w:hint="eastAsia" w:ascii="宋体" w:hAnsi="宋体" w:cs="宋体"/>
          <w:szCs w:val="21"/>
        </w:rPr>
        <w:t>（9）未按照招标文件的规定提交投标保证金的；</w:t>
      </w:r>
    </w:p>
    <w:p>
      <w:pPr>
        <w:snapToGrid w:val="0"/>
        <w:spacing w:line="360" w:lineRule="auto"/>
        <w:ind w:firstLine="420" w:firstLineChars="200"/>
        <w:rPr>
          <w:rFonts w:ascii="宋体" w:hAnsi="宋体" w:cs="宋体"/>
          <w:szCs w:val="21"/>
        </w:rPr>
      </w:pPr>
      <w:r>
        <w:rPr>
          <w:rFonts w:hint="eastAsia" w:ascii="宋体" w:hAnsi="宋体" w:cs="宋体"/>
          <w:szCs w:val="21"/>
        </w:rPr>
        <w:t>（10）投标文件含有采购人不能接受的附加条件的;</w:t>
      </w:r>
    </w:p>
    <w:p>
      <w:pPr>
        <w:snapToGrid w:val="0"/>
        <w:spacing w:line="360" w:lineRule="auto"/>
        <w:ind w:firstLine="420" w:firstLineChars="200"/>
        <w:rPr>
          <w:rFonts w:ascii="宋体" w:hAnsi="宋体" w:cs="宋体"/>
          <w:szCs w:val="21"/>
        </w:rPr>
      </w:pPr>
      <w:r>
        <w:rPr>
          <w:rFonts w:hint="eastAsia" w:ascii="宋体" w:hAnsi="宋体" w:cs="宋体"/>
          <w:szCs w:val="21"/>
        </w:rPr>
        <w:t>（11）招标文件规定的其它无效投标情形。</w:t>
      </w:r>
    </w:p>
    <w:p>
      <w:pPr>
        <w:snapToGrid w:val="0"/>
        <w:spacing w:line="360" w:lineRule="auto"/>
        <w:ind w:firstLine="420" w:firstLineChars="200"/>
        <w:rPr>
          <w:rFonts w:ascii="宋体" w:hAnsi="宋体" w:cs="宋体"/>
          <w:szCs w:val="21"/>
        </w:rPr>
      </w:pPr>
      <w:r>
        <w:rPr>
          <w:rFonts w:hint="eastAsia" w:ascii="宋体" w:hAnsi="宋体" w:cs="宋体"/>
          <w:szCs w:val="21"/>
        </w:rPr>
        <w:t>8.4 投标人有下列情形之一的, 详细评审后其投标按无效投标处理：</w:t>
      </w:r>
    </w:p>
    <w:p>
      <w:pPr>
        <w:snapToGrid w:val="0"/>
        <w:spacing w:line="360" w:lineRule="auto"/>
        <w:ind w:firstLine="420" w:firstLineChars="200"/>
        <w:rPr>
          <w:rFonts w:ascii="宋体" w:hAnsi="宋体" w:cs="宋体"/>
          <w:szCs w:val="21"/>
        </w:rPr>
      </w:pPr>
      <w:r>
        <w:rPr>
          <w:rFonts w:hint="eastAsia" w:ascii="宋体" w:hAnsi="宋体" w:cs="宋体"/>
          <w:szCs w:val="21"/>
        </w:rPr>
        <w:t>(1)投标产品或服务不符合必须强制执行的国家标准的；</w:t>
      </w:r>
    </w:p>
    <w:p>
      <w:pPr>
        <w:snapToGrid w:val="0"/>
        <w:spacing w:line="360" w:lineRule="auto"/>
        <w:ind w:firstLine="420" w:firstLineChars="200"/>
        <w:rPr>
          <w:rFonts w:ascii="宋体" w:hAnsi="宋体" w:cs="宋体"/>
          <w:szCs w:val="21"/>
        </w:rPr>
      </w:pPr>
      <w:r>
        <w:rPr>
          <w:rFonts w:hint="eastAsia" w:ascii="宋体" w:hAnsi="宋体" w:cs="宋体"/>
          <w:szCs w:val="21"/>
        </w:rPr>
        <w:t>(2)投标人有串通投标、弄虚作假、行贿等违法行为；</w:t>
      </w:r>
    </w:p>
    <w:p>
      <w:pPr>
        <w:snapToGrid w:val="0"/>
        <w:spacing w:line="360" w:lineRule="auto"/>
        <w:ind w:firstLine="420" w:firstLineChars="200"/>
        <w:rPr>
          <w:rFonts w:ascii="宋体" w:hAnsi="宋体" w:cs="宋体"/>
          <w:szCs w:val="21"/>
        </w:rPr>
      </w:pPr>
      <w:r>
        <w:rPr>
          <w:rFonts w:hint="eastAsia" w:ascii="宋体" w:hAnsi="宋体" w:cs="宋体"/>
          <w:szCs w:val="21"/>
        </w:rPr>
        <w:t>(3)投标文件含有违反国家法律、法规的内容，或附有招标人不能接受的条件的；</w:t>
      </w:r>
    </w:p>
    <w:p>
      <w:pPr>
        <w:snapToGrid w:val="0"/>
        <w:spacing w:line="360" w:lineRule="auto"/>
        <w:ind w:firstLine="420" w:firstLineChars="200"/>
        <w:rPr>
          <w:rFonts w:ascii="宋体" w:hAnsi="宋体" w:cs="宋体"/>
          <w:szCs w:val="21"/>
        </w:rPr>
      </w:pPr>
      <w:r>
        <w:rPr>
          <w:rFonts w:hint="eastAsia" w:ascii="宋体" w:hAnsi="宋体" w:cs="宋体"/>
          <w:szCs w:val="21"/>
        </w:rPr>
        <w:t>（4）在同一项目（或同一标段）中有多个投标人有效投标报价接近最高限价，且评标委员会认为报价出现异常的，可以宣布其投标无效；</w:t>
      </w:r>
    </w:p>
    <w:p>
      <w:pPr>
        <w:snapToGrid w:val="0"/>
        <w:spacing w:line="360" w:lineRule="auto"/>
        <w:ind w:firstLine="420" w:firstLineChars="200"/>
        <w:rPr>
          <w:rFonts w:ascii="宋体" w:hAnsi="宋体" w:cs="宋体"/>
          <w:szCs w:val="21"/>
        </w:rPr>
      </w:pPr>
      <w:r>
        <w:rPr>
          <w:rFonts w:hint="eastAsia" w:ascii="宋体" w:hAnsi="宋体" w:cs="宋体"/>
          <w:szCs w:val="21"/>
        </w:rPr>
        <w:t>（5）报价明显低于其他投标人，且不能证明报价合理性的投标无效；</w:t>
      </w:r>
    </w:p>
    <w:p>
      <w:pPr>
        <w:snapToGrid w:val="0"/>
        <w:spacing w:line="360" w:lineRule="auto"/>
        <w:ind w:firstLine="420" w:firstLineChars="200"/>
        <w:rPr>
          <w:rFonts w:ascii="宋体" w:hAnsi="宋体" w:cs="宋体"/>
          <w:szCs w:val="21"/>
        </w:rPr>
      </w:pPr>
      <w:r>
        <w:rPr>
          <w:rFonts w:hint="eastAsia" w:ascii="宋体" w:hAnsi="宋体" w:cs="宋体"/>
          <w:szCs w:val="21"/>
        </w:rPr>
        <w:t>（6）拒不确认评标委员会评审修正的投标无效；</w:t>
      </w:r>
    </w:p>
    <w:p>
      <w:pPr>
        <w:snapToGrid w:val="0"/>
        <w:spacing w:line="360" w:lineRule="auto"/>
        <w:ind w:firstLine="420" w:firstLineChars="200"/>
        <w:rPr>
          <w:rFonts w:ascii="宋体" w:hAnsi="宋体" w:cs="宋体"/>
          <w:szCs w:val="21"/>
        </w:rPr>
      </w:pPr>
      <w:r>
        <w:rPr>
          <w:rFonts w:hint="eastAsia" w:ascii="宋体" w:hAnsi="宋体" w:cs="宋体"/>
          <w:szCs w:val="21"/>
        </w:rPr>
        <w:t>(7)其它情形，经评标委员会委提出按无效投标处理的；</w:t>
      </w:r>
    </w:p>
    <w:p>
      <w:pPr>
        <w:snapToGrid w:val="0"/>
        <w:spacing w:line="360" w:lineRule="auto"/>
        <w:ind w:firstLine="420" w:firstLineChars="200"/>
        <w:rPr>
          <w:rFonts w:ascii="宋体" w:hAnsi="宋体" w:cs="宋体"/>
          <w:szCs w:val="21"/>
        </w:rPr>
      </w:pPr>
      <w:r>
        <w:rPr>
          <w:rFonts w:hint="eastAsia" w:ascii="宋体" w:hAnsi="宋体" w:cs="宋体"/>
          <w:szCs w:val="21"/>
        </w:rPr>
        <w:t>（8）招标文件规定的其它无效投标情形。</w:t>
      </w:r>
    </w:p>
    <w:p>
      <w:pPr>
        <w:spacing w:line="312" w:lineRule="auto"/>
        <w:ind w:firstLine="205" w:firstLineChars="98"/>
        <w:rPr>
          <w:rFonts w:ascii="宋体" w:hAnsi="宋体"/>
          <w:szCs w:val="21"/>
        </w:rPr>
        <w:sectPr>
          <w:pgSz w:w="11906" w:h="16838"/>
          <w:pgMar w:top="1440" w:right="1800" w:bottom="1440" w:left="1800" w:header="851" w:footer="992" w:gutter="0"/>
          <w:cols w:space="720" w:num="1"/>
          <w:docGrid w:type="lines" w:linePitch="312" w:charSpace="0"/>
        </w:sectPr>
      </w:pPr>
    </w:p>
    <w:bookmarkEnd w:id="91"/>
    <w:p>
      <w:pPr>
        <w:pStyle w:val="5"/>
        <w:spacing w:before="100" w:beforeAutospacing="1" w:after="100" w:afterAutospacing="1" w:line="312" w:lineRule="auto"/>
        <w:jc w:val="center"/>
        <w:rPr>
          <w:rFonts w:ascii="宋体" w:hAnsi="宋体"/>
          <w:szCs w:val="21"/>
          <w:highlight w:val="yellow"/>
        </w:rPr>
      </w:pPr>
      <w:bookmarkStart w:id="114" w:name="_Toc5781"/>
      <w:bookmarkStart w:id="115" w:name="_Toc30002"/>
      <w:bookmarkStart w:id="116" w:name="_Toc449028945"/>
      <w:r>
        <w:rPr>
          <w:rFonts w:hint="eastAsia" w:ascii="宋体" w:hAnsi="宋体" w:cs="宋体"/>
          <w:b w:val="0"/>
          <w:bCs w:val="0"/>
          <w:kern w:val="0"/>
          <w:sz w:val="32"/>
          <w:szCs w:val="32"/>
        </w:rPr>
        <w:t>第四章   采购需求及要求</w:t>
      </w:r>
      <w:bookmarkEnd w:id="114"/>
      <w:bookmarkEnd w:id="115"/>
    </w:p>
    <w:p>
      <w:pPr>
        <w:spacing w:line="360" w:lineRule="auto"/>
        <w:rPr>
          <w:szCs w:val="21"/>
        </w:rPr>
      </w:pPr>
      <w:r>
        <w:rPr>
          <w:rFonts w:hint="eastAsia"/>
          <w:szCs w:val="21"/>
        </w:rPr>
        <w:t>（一）公司概况</w:t>
      </w:r>
    </w:p>
    <w:p>
      <w:pPr>
        <w:spacing w:line="360" w:lineRule="auto"/>
        <w:ind w:firstLine="420" w:firstLineChars="200"/>
        <w:rPr>
          <w:szCs w:val="21"/>
        </w:rPr>
      </w:pPr>
      <w:r>
        <w:rPr>
          <w:rFonts w:hint="eastAsia" w:ascii="宋体" w:hAnsi="宋体" w:cs="宋体"/>
          <w:szCs w:val="21"/>
        </w:rPr>
        <w:t>滁州市同创建设投资有限责任公司</w:t>
      </w:r>
      <w:r>
        <w:rPr>
          <w:rFonts w:hint="eastAsia" w:ascii="宋体" w:hAnsi="宋体" w:cs="宋体"/>
          <w:spacing w:val="-4"/>
          <w:szCs w:val="21"/>
        </w:rPr>
        <w:t>经营范围：筹措城市建设项目资金；开发区基础设施项目建设投资和其他自营建设项目投资；投资、经营有受益权的市政公用设施；参与土地整理、开发；经营管理授权范围内的资产；房屋、车辆租赁。</w:t>
      </w:r>
    </w:p>
    <w:p>
      <w:pPr>
        <w:spacing w:line="360" w:lineRule="auto"/>
        <w:rPr>
          <w:rFonts w:hint="eastAsia"/>
          <w:szCs w:val="21"/>
        </w:rPr>
      </w:pPr>
    </w:p>
    <w:p>
      <w:pPr>
        <w:spacing w:line="360" w:lineRule="auto"/>
        <w:rPr>
          <w:szCs w:val="21"/>
        </w:rPr>
      </w:pPr>
      <w:r>
        <w:rPr>
          <w:rFonts w:hint="eastAsia"/>
          <w:szCs w:val="21"/>
        </w:rPr>
        <w:t>（二）技术要求</w:t>
      </w:r>
    </w:p>
    <w:p>
      <w:pPr>
        <w:snapToGrid w:val="0"/>
        <w:spacing w:line="360" w:lineRule="auto"/>
        <w:ind w:firstLine="420" w:firstLineChars="200"/>
        <w:rPr>
          <w:szCs w:val="21"/>
        </w:rPr>
      </w:pPr>
      <w:r>
        <w:rPr>
          <w:rFonts w:hint="eastAsia"/>
          <w:szCs w:val="21"/>
        </w:rPr>
        <w:t>1、中标人出具招标人审计范围内的2020年、2021年、2022年每年审计报告。</w:t>
      </w:r>
    </w:p>
    <w:p>
      <w:pPr>
        <w:snapToGrid w:val="0"/>
        <w:spacing w:line="360" w:lineRule="auto"/>
        <w:ind w:firstLine="420" w:firstLineChars="200"/>
        <w:rPr>
          <w:color w:val="auto"/>
          <w:szCs w:val="21"/>
        </w:rPr>
      </w:pPr>
      <w:r>
        <w:rPr>
          <w:rFonts w:hint="eastAsia"/>
          <w:color w:val="auto"/>
          <w:szCs w:val="21"/>
        </w:rPr>
        <w:t>在每年4月20日之前完成上一年度同创公司及子公司审计报告。2020年度审计报告的完成时间以中标人承诺日期为准。</w:t>
      </w:r>
    </w:p>
    <w:p>
      <w:pPr>
        <w:snapToGrid w:val="0"/>
        <w:spacing w:line="360" w:lineRule="auto"/>
        <w:ind w:firstLine="420" w:firstLineChars="200"/>
        <w:rPr>
          <w:color w:val="auto"/>
          <w:szCs w:val="21"/>
        </w:rPr>
      </w:pPr>
      <w:r>
        <w:rPr>
          <w:rFonts w:hint="eastAsia"/>
          <w:color w:val="auto"/>
          <w:szCs w:val="21"/>
        </w:rPr>
        <w:t>2、中标人为招标人 2020年至 2022年度期内已发行、拟发行的企业债券、中期票据等直接融资产品按产品要求出具相关的专项说明文件，并协助招标人就出具相应的专项说明文件作出解释，根据具体项目要求提供服务。</w:t>
      </w:r>
    </w:p>
    <w:p>
      <w:pPr>
        <w:snapToGrid w:val="0"/>
        <w:spacing w:line="360" w:lineRule="auto"/>
        <w:ind w:firstLine="420" w:firstLineChars="200"/>
        <w:rPr>
          <w:color w:val="auto"/>
          <w:szCs w:val="21"/>
        </w:rPr>
      </w:pPr>
      <w:r>
        <w:rPr>
          <w:rFonts w:hint="eastAsia"/>
          <w:color w:val="auto"/>
          <w:szCs w:val="21"/>
        </w:rPr>
        <w:t>3、不分项目计费，按照年度总费用统一支付。</w:t>
      </w:r>
    </w:p>
    <w:p>
      <w:pPr>
        <w:snapToGrid w:val="0"/>
        <w:spacing w:line="360" w:lineRule="auto"/>
        <w:ind w:firstLine="420" w:firstLineChars="200"/>
        <w:rPr>
          <w:color w:val="auto"/>
          <w:szCs w:val="21"/>
        </w:rPr>
      </w:pPr>
      <w:r>
        <w:rPr>
          <w:rFonts w:hint="eastAsia"/>
          <w:color w:val="auto"/>
          <w:szCs w:val="21"/>
        </w:rPr>
        <w:t>4、审计范围：</w:t>
      </w:r>
      <w:r>
        <w:rPr>
          <w:rFonts w:hint="eastAsia" w:ascii="宋体" w:hAnsi="宋体" w:cs="宋体"/>
          <w:color w:val="auto"/>
          <w:szCs w:val="21"/>
        </w:rPr>
        <w:t>滁州市同创建设投资有限责任公司</w:t>
      </w:r>
      <w:r>
        <w:rPr>
          <w:rFonts w:hint="eastAsia"/>
          <w:color w:val="auto"/>
          <w:szCs w:val="21"/>
        </w:rPr>
        <w:t>及子公司</w:t>
      </w:r>
    </w:p>
    <w:p>
      <w:pPr>
        <w:snapToGrid w:val="0"/>
        <w:spacing w:line="360" w:lineRule="auto"/>
        <w:rPr>
          <w:rFonts w:hint="eastAsia"/>
          <w:color w:val="auto"/>
          <w:szCs w:val="21"/>
        </w:rPr>
      </w:pPr>
    </w:p>
    <w:p>
      <w:pPr>
        <w:snapToGrid w:val="0"/>
        <w:spacing w:line="360" w:lineRule="auto"/>
        <w:rPr>
          <w:color w:val="auto"/>
          <w:szCs w:val="21"/>
        </w:rPr>
      </w:pPr>
      <w:bookmarkStart w:id="132" w:name="_GoBack"/>
      <w:bookmarkEnd w:id="132"/>
      <w:r>
        <w:rPr>
          <w:rFonts w:hint="eastAsia"/>
          <w:color w:val="auto"/>
          <w:szCs w:val="21"/>
        </w:rPr>
        <w:t>（三） 商务要求</w:t>
      </w:r>
    </w:p>
    <w:p>
      <w:pPr>
        <w:snapToGrid w:val="0"/>
        <w:spacing w:line="360" w:lineRule="auto"/>
        <w:ind w:firstLine="420" w:firstLineChars="200"/>
        <w:rPr>
          <w:color w:val="auto"/>
          <w:szCs w:val="21"/>
        </w:rPr>
      </w:pPr>
      <w:r>
        <w:rPr>
          <w:rFonts w:hint="eastAsia"/>
          <w:color w:val="auto"/>
          <w:szCs w:val="21"/>
        </w:rPr>
        <w:t>1、投标人应为本项目配备足够具备胜任能力的技术人员。</w:t>
      </w:r>
    </w:p>
    <w:p>
      <w:pPr>
        <w:snapToGrid w:val="0"/>
        <w:spacing w:line="360" w:lineRule="auto"/>
        <w:ind w:firstLine="420" w:firstLineChars="200"/>
        <w:rPr>
          <w:color w:val="auto"/>
          <w:szCs w:val="21"/>
        </w:rPr>
      </w:pPr>
      <w:r>
        <w:rPr>
          <w:rFonts w:hint="eastAsia"/>
          <w:color w:val="auto"/>
          <w:szCs w:val="21"/>
        </w:rPr>
        <w:t>1.1 投标人为本项目配备的项目负责人具备注册会计师资格。项目负责人能胜任招标人拟发行企业债券、中期票据等直接融资活动相关专项说明解释工作，并协助出具相应的解释说明文件，并承诺未经业主同意不得更换项目负责人。</w:t>
      </w:r>
    </w:p>
    <w:p>
      <w:pPr>
        <w:snapToGrid w:val="0"/>
        <w:spacing w:line="360" w:lineRule="auto"/>
        <w:ind w:firstLine="420" w:firstLineChars="200"/>
        <w:rPr>
          <w:szCs w:val="21"/>
        </w:rPr>
      </w:pPr>
      <w:r>
        <w:rPr>
          <w:rFonts w:hint="eastAsia"/>
          <w:szCs w:val="21"/>
        </w:rPr>
        <w:t>2、投标人遵守国家有关法律和规章条例，未受到证监会、财政部、发改委、中注协、中国银行间交易商协会给予的行政处罚或暂停承接证券业务、行业惩戒。</w:t>
      </w:r>
    </w:p>
    <w:p>
      <w:pPr>
        <w:snapToGrid w:val="0"/>
        <w:spacing w:line="360" w:lineRule="auto"/>
        <w:ind w:firstLine="420" w:firstLineChars="200"/>
        <w:rPr>
          <w:szCs w:val="21"/>
        </w:rPr>
      </w:pPr>
      <w:r>
        <w:rPr>
          <w:rFonts w:hint="eastAsia"/>
          <w:szCs w:val="21"/>
        </w:rPr>
        <w:t>3、付款方式：</w:t>
      </w:r>
    </w:p>
    <w:p>
      <w:pPr>
        <w:snapToGrid w:val="0"/>
        <w:spacing w:line="360" w:lineRule="auto"/>
        <w:ind w:firstLine="420" w:firstLineChars="200"/>
        <w:rPr>
          <w:szCs w:val="21"/>
        </w:rPr>
      </w:pPr>
      <w:r>
        <w:rPr>
          <w:rFonts w:hint="eastAsia"/>
          <w:szCs w:val="21"/>
        </w:rPr>
        <w:t>3.1 中标金额（总投标价）为三年审计费用总报价，2020年、2021 年、2022 年每年支付审计费用分别为总报价的 30%、35%、35%。</w:t>
      </w:r>
    </w:p>
    <w:p>
      <w:pPr>
        <w:snapToGrid w:val="0"/>
        <w:spacing w:line="360" w:lineRule="auto"/>
        <w:ind w:firstLine="420" w:firstLineChars="200"/>
        <w:rPr>
          <w:szCs w:val="21"/>
        </w:rPr>
      </w:pPr>
      <w:r>
        <w:rPr>
          <w:rFonts w:hint="eastAsia"/>
          <w:szCs w:val="21"/>
        </w:rPr>
        <w:t>3.2 中标人在每年年报及发票提交后5个工作日内，招标人支付当年价款的百分之五十，每年一季度报及发票提交后 10 个工作日内，招标人支付当年价款的百分之五十。每延误一天，甲方有权处以1000元的违约金。</w:t>
      </w:r>
    </w:p>
    <w:p>
      <w:pPr>
        <w:snapToGrid w:val="0"/>
        <w:spacing w:line="360" w:lineRule="auto"/>
        <w:ind w:firstLine="420" w:firstLineChars="200"/>
        <w:rPr>
          <w:szCs w:val="21"/>
        </w:rPr>
      </w:pPr>
      <w:r>
        <w:rPr>
          <w:rFonts w:hint="eastAsia"/>
          <w:szCs w:val="21"/>
        </w:rPr>
        <w:t>4、其他：本项目中标金额为最终实际支付金额，为包干价。包括人员工资和社会保险费、办公费、技术服务费、管理费、其他费用（如资料费、住宿费、餐饮费、交通费、以及投标人认为完成本项目所需要的其他费用）及所有价内价外税金及合理利润等一切费用。</w:t>
      </w:r>
    </w:p>
    <w:p>
      <w:pPr>
        <w:snapToGrid w:val="0"/>
        <w:spacing w:line="360" w:lineRule="auto"/>
        <w:rPr>
          <w:b/>
          <w:bCs/>
          <w:szCs w:val="21"/>
        </w:rPr>
      </w:pPr>
      <w:r>
        <w:rPr>
          <w:rFonts w:hint="eastAsia"/>
          <w:b/>
          <w:bCs/>
          <w:szCs w:val="21"/>
        </w:rPr>
        <w:t>注：如因甲方提出超出招标采购范围内工作事项需求，费用由甲乙双方另行协商。（由甲乙双方在补充协议中另行说明）</w:t>
      </w:r>
    </w:p>
    <w:p>
      <w:pPr>
        <w:snapToGrid w:val="0"/>
        <w:spacing w:line="312" w:lineRule="auto"/>
        <w:rPr>
          <w:rFonts w:ascii="宋体"/>
          <w:b/>
          <w:szCs w:val="21"/>
        </w:rPr>
      </w:pPr>
    </w:p>
    <w:p>
      <w:pPr>
        <w:snapToGrid w:val="0"/>
        <w:spacing w:line="312" w:lineRule="auto"/>
        <w:ind w:firstLine="420" w:firstLineChars="200"/>
        <w:rPr>
          <w:szCs w:val="21"/>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p>
      <w:pPr>
        <w:tabs>
          <w:tab w:val="left" w:pos="1035"/>
        </w:tabs>
        <w:spacing w:line="312" w:lineRule="auto"/>
        <w:rPr>
          <w:rFonts w:ascii="宋体" w:hAnsi="宋体"/>
          <w:szCs w:val="21"/>
          <w:highlight w:val="yellow"/>
        </w:rPr>
      </w:pPr>
    </w:p>
    <w:bookmarkEnd w:id="116"/>
    <w:p>
      <w:pPr>
        <w:pageBreakBefore/>
        <w:spacing w:line="312" w:lineRule="auto"/>
        <w:jc w:val="center"/>
        <w:outlineLvl w:val="0"/>
        <w:rPr>
          <w:rFonts w:ascii="宋体"/>
          <w:b/>
          <w:sz w:val="30"/>
          <w:szCs w:val="30"/>
        </w:rPr>
      </w:pPr>
      <w:bookmarkStart w:id="117" w:name="_Toc18045"/>
      <w:bookmarkStart w:id="118" w:name="_Toc5378"/>
      <w:bookmarkStart w:id="119" w:name="_Toc449028948"/>
      <w:r>
        <w:rPr>
          <w:rFonts w:hint="eastAsia" w:ascii="宋体"/>
          <w:b/>
          <w:sz w:val="30"/>
          <w:szCs w:val="30"/>
        </w:rPr>
        <w:t>第五章  投标文件格式</w:t>
      </w:r>
      <w:bookmarkEnd w:id="117"/>
      <w:bookmarkEnd w:id="118"/>
    </w:p>
    <w:p>
      <w:pPr>
        <w:pStyle w:val="6"/>
        <w:numPr>
          <w:ilvl w:val="0"/>
          <w:numId w:val="0"/>
        </w:numPr>
        <w:spacing w:line="312" w:lineRule="auto"/>
        <w:ind w:left="851"/>
        <w:rPr>
          <w:rFonts w:ascii="宋体" w:hAnsi="宋体"/>
          <w:b/>
          <w:sz w:val="28"/>
          <w:szCs w:val="28"/>
          <w:bdr w:val="single" w:color="000000" w:sz="4" w:space="0"/>
        </w:rPr>
      </w:pPr>
      <w:bookmarkStart w:id="120" w:name="_Toc19191225"/>
      <w:bookmarkStart w:id="121" w:name="_Toc16679"/>
      <w:bookmarkStart w:id="122" w:name="_Toc27721"/>
      <w:r>
        <w:rPr>
          <w:rFonts w:hint="eastAsia" w:ascii="宋体" w:hAnsi="宋体"/>
          <w:b/>
          <w:sz w:val="28"/>
          <w:szCs w:val="28"/>
        </w:rPr>
        <w:t>一、资信证明格式文件</w:t>
      </w:r>
      <w:bookmarkEnd w:id="120"/>
      <w:bookmarkEnd w:id="121"/>
      <w:bookmarkEnd w:id="122"/>
    </w:p>
    <w:p>
      <w:pPr>
        <w:jc w:val="right"/>
        <w:rPr>
          <w:rFonts w:ascii="宋体"/>
          <w:sz w:val="28"/>
          <w:szCs w:val="28"/>
          <w:bdr w:val="single" w:color="000000" w:sz="4" w:space="0"/>
        </w:rPr>
      </w:pPr>
      <w:r>
        <w:rPr>
          <w:rFonts w:hint="eastAsia" w:ascii="宋体"/>
          <w:sz w:val="28"/>
          <w:szCs w:val="28"/>
          <w:bdr w:val="single" w:color="000000" w:sz="4" w:space="0"/>
        </w:rPr>
        <w:t>注明正本或副本</w:t>
      </w:r>
    </w:p>
    <w:p>
      <w:pPr>
        <w:spacing w:line="312" w:lineRule="auto"/>
        <w:jc w:val="right"/>
        <w:rPr>
          <w:rFonts w:ascii="宋体"/>
          <w:sz w:val="28"/>
          <w:szCs w:val="28"/>
          <w:bdr w:val="single" w:color="000000" w:sz="4" w:space="0"/>
        </w:rPr>
      </w:pPr>
    </w:p>
    <w:p>
      <w:pPr>
        <w:spacing w:line="312" w:lineRule="auto"/>
        <w:jc w:val="center"/>
        <w:rPr>
          <w:rFonts w:eastAsia="黑体"/>
          <w:sz w:val="20"/>
        </w:rPr>
      </w:pPr>
    </w:p>
    <w:p>
      <w:pPr>
        <w:spacing w:line="312" w:lineRule="auto"/>
        <w:rPr>
          <w:rFonts w:eastAsia="黑体"/>
          <w:sz w:val="20"/>
        </w:rPr>
      </w:pPr>
    </w:p>
    <w:p>
      <w:pPr>
        <w:spacing w:line="312" w:lineRule="auto"/>
        <w:jc w:val="center"/>
        <w:rPr>
          <w:rFonts w:ascii="宋体"/>
          <w:b/>
          <w:sz w:val="44"/>
          <w:szCs w:val="44"/>
        </w:rPr>
      </w:pPr>
      <w:r>
        <w:rPr>
          <w:rFonts w:hint="eastAsia" w:ascii="宋体"/>
          <w:b/>
          <w:sz w:val="44"/>
          <w:szCs w:val="44"/>
        </w:rPr>
        <w:t>资信证明文件</w:t>
      </w:r>
    </w:p>
    <w:p>
      <w:pPr>
        <w:spacing w:line="312" w:lineRule="auto"/>
        <w:jc w:val="center"/>
        <w:rPr>
          <w:rFonts w:ascii="宋体"/>
          <w:sz w:val="32"/>
          <w:szCs w:val="32"/>
        </w:rPr>
      </w:pPr>
      <w:r>
        <w:rPr>
          <w:rFonts w:hint="eastAsia" w:ascii="宋体"/>
          <w:sz w:val="32"/>
          <w:szCs w:val="32"/>
        </w:rPr>
        <w:t>（投标文件一）</w:t>
      </w:r>
    </w:p>
    <w:p>
      <w:pPr>
        <w:spacing w:line="312" w:lineRule="auto"/>
        <w:jc w:val="center"/>
        <w:rPr>
          <w:rFonts w:eastAsia="黑体"/>
          <w:sz w:val="44"/>
          <w:szCs w:val="44"/>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项目名称</w:t>
      </w:r>
    </w:p>
    <w:p>
      <w:pPr>
        <w:spacing w:line="312" w:lineRule="auto"/>
        <w:jc w:val="center"/>
        <w:rPr>
          <w:rFonts w:ascii="宋体"/>
          <w:sz w:val="44"/>
          <w:szCs w:val="44"/>
        </w:rPr>
      </w:pPr>
      <w:r>
        <w:rPr>
          <w:rFonts w:hint="eastAsia" w:ascii="宋体"/>
          <w:sz w:val="28"/>
          <w:szCs w:val="28"/>
          <w:u w:val="single"/>
        </w:rPr>
        <w:t xml:space="preserve">  </w:t>
      </w: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jc w:val="center"/>
        <w:rPr>
          <w:rFonts w:ascii="宋体"/>
          <w:sz w:val="28"/>
          <w:szCs w:val="28"/>
          <w:u w:val="single"/>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（盖章）</w:t>
      </w:r>
    </w:p>
    <w:p>
      <w:pPr>
        <w:spacing w:line="312" w:lineRule="auto"/>
        <w:jc w:val="center"/>
        <w:rPr>
          <w:rFonts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312" w:lineRule="auto"/>
        <w:jc w:val="center"/>
        <w:rPr>
          <w:rFonts w:ascii="宋体"/>
          <w:sz w:val="28"/>
          <w:szCs w:val="28"/>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312" w:lineRule="auto"/>
        <w:rPr>
          <w:b/>
          <w:sz w:val="36"/>
          <w:szCs w:val="36"/>
        </w:rPr>
      </w:pPr>
    </w:p>
    <w:p>
      <w:pPr>
        <w:spacing w:line="312" w:lineRule="auto"/>
        <w:jc w:val="center"/>
        <w:rPr>
          <w:b/>
          <w:sz w:val="44"/>
          <w:szCs w:val="44"/>
        </w:rPr>
      </w:pPr>
      <w:r>
        <w:rPr>
          <w:rFonts w:hint="eastAsia"/>
          <w:b/>
          <w:sz w:val="36"/>
          <w:szCs w:val="36"/>
        </w:rPr>
        <w:t>目   录</w:t>
      </w:r>
    </w:p>
    <w:p>
      <w:pPr>
        <w:spacing w:line="312" w:lineRule="auto"/>
        <w:ind w:firstLine="420" w:firstLineChars="200"/>
        <w:rPr>
          <w:rFonts w:ascii="宋体"/>
          <w:szCs w:val="21"/>
        </w:rPr>
      </w:pPr>
      <w:r>
        <w:rPr>
          <w:rFonts w:hint="eastAsia" w:ascii="宋体"/>
          <w:szCs w:val="21"/>
        </w:rPr>
        <w:t>（1）法定代表人身份证明原件及其有效身份证复印件【或法人代表授权委托书原件及其有效身份证复印件】（格式见附件）和项目负责人身份证复印件（还须提供项目负责人、授权代理人联系方式及微信账号）；</w:t>
      </w:r>
      <w:r>
        <w:rPr>
          <w:rFonts w:hint="eastAsia" w:ascii="宋体" w:hAnsi="宋体" w:cs="宋体"/>
          <w:b/>
          <w:bCs/>
          <w:szCs w:val="21"/>
        </w:rPr>
        <w:t>（</w:t>
      </w:r>
      <w:r>
        <w:rPr>
          <w:rFonts w:hint="eastAsia" w:ascii="宋体"/>
          <w:b/>
          <w:bCs/>
          <w:szCs w:val="21"/>
        </w:rPr>
        <w:t>授权代理人和项目负责人可以为同一个人</w:t>
      </w:r>
      <w:r>
        <w:rPr>
          <w:rFonts w:hint="eastAsia" w:ascii="宋体" w:hAnsi="宋体"/>
          <w:b/>
        </w:rPr>
        <w:t>）</w:t>
      </w:r>
    </w:p>
    <w:p>
      <w:pPr>
        <w:spacing w:line="312" w:lineRule="auto"/>
        <w:ind w:firstLine="420" w:firstLineChars="200"/>
        <w:rPr>
          <w:rFonts w:ascii="宋体"/>
          <w:szCs w:val="21"/>
        </w:rPr>
      </w:pPr>
      <w:r>
        <w:rPr>
          <w:rFonts w:hint="eastAsia" w:ascii="宋体"/>
          <w:szCs w:val="21"/>
        </w:rPr>
        <w:t>（2）投标人有效的营业执照复印件；</w:t>
      </w:r>
    </w:p>
    <w:p>
      <w:pPr>
        <w:spacing w:line="312" w:lineRule="auto"/>
        <w:ind w:firstLine="420" w:firstLineChars="200"/>
        <w:rPr>
          <w:rFonts w:ascii="宋体"/>
          <w:szCs w:val="21"/>
        </w:rPr>
      </w:pPr>
      <w:r>
        <w:rPr>
          <w:rFonts w:hint="eastAsia" w:ascii="宋体"/>
          <w:szCs w:val="21"/>
        </w:rPr>
        <w:t>（3）</w:t>
      </w:r>
      <w:r>
        <w:rPr>
          <w:rFonts w:hint="eastAsia" w:ascii="宋体" w:hAnsi="宋体"/>
          <w:bCs/>
          <w:szCs w:val="21"/>
        </w:rPr>
        <w:t>投标人有效的会计师事务所执业证书和从事证券业务许可证复印件；</w:t>
      </w:r>
    </w:p>
    <w:p>
      <w:pPr>
        <w:spacing w:line="312" w:lineRule="auto"/>
        <w:ind w:firstLine="420" w:firstLineChars="200"/>
        <w:rPr>
          <w:rFonts w:ascii="宋体"/>
          <w:szCs w:val="21"/>
        </w:rPr>
      </w:pPr>
      <w:r>
        <w:rPr>
          <w:rFonts w:hint="eastAsia" w:ascii="宋体"/>
          <w:szCs w:val="21"/>
        </w:rPr>
        <w:t>（4）全国注册会计师资格证书</w:t>
      </w:r>
      <w:r>
        <w:rPr>
          <w:rFonts w:hint="eastAsia" w:ascii="宋体" w:hAnsi="宋体"/>
          <w:bCs/>
          <w:szCs w:val="21"/>
        </w:rPr>
        <w:t>复印件；</w:t>
      </w:r>
    </w:p>
    <w:p>
      <w:pPr>
        <w:spacing w:line="312" w:lineRule="auto"/>
        <w:ind w:firstLine="420" w:firstLineChars="200"/>
        <w:rPr>
          <w:rFonts w:ascii="宋体"/>
          <w:szCs w:val="21"/>
        </w:rPr>
      </w:pPr>
      <w:r>
        <w:rPr>
          <w:rFonts w:hint="eastAsia" w:ascii="宋体"/>
          <w:szCs w:val="21"/>
        </w:rPr>
        <w:t>（5）招标文件中要求的资信评审、评分的支持资料；</w:t>
      </w:r>
    </w:p>
    <w:p>
      <w:pPr>
        <w:spacing w:line="312" w:lineRule="auto"/>
        <w:ind w:firstLine="420" w:firstLineChars="200"/>
        <w:rPr>
          <w:rFonts w:ascii="宋体"/>
          <w:szCs w:val="21"/>
        </w:rPr>
      </w:pPr>
      <w:r>
        <w:rPr>
          <w:rFonts w:hint="eastAsia" w:ascii="宋体"/>
          <w:szCs w:val="21"/>
        </w:rPr>
        <w:t>（6）投标人认为需要提供的其他资信证明材料。</w:t>
      </w:r>
    </w:p>
    <w:p>
      <w:pPr>
        <w:spacing w:line="480" w:lineRule="exact"/>
        <w:ind w:firstLine="632" w:firstLineChars="300"/>
        <w:rPr>
          <w:rFonts w:ascii="宋体" w:hAnsi="宋体" w:cs="宋体"/>
          <w:b/>
          <w:szCs w:val="21"/>
        </w:rPr>
      </w:pPr>
      <w:r>
        <w:rPr>
          <w:rFonts w:hint="eastAsia" w:ascii="宋体" w:hAnsi="宋体"/>
          <w:b/>
          <w:szCs w:val="21"/>
        </w:rPr>
        <w:t>以上资料均须按顺序装订并每页加盖公章，投标人所提交的资格文件的完整与否，直接影响投标人的评价，否则造成的一切风险均由投标人自行承担。</w:t>
      </w:r>
    </w:p>
    <w:p>
      <w:pPr>
        <w:spacing w:line="312" w:lineRule="auto"/>
        <w:ind w:firstLine="420" w:firstLineChars="200"/>
        <w:rPr>
          <w:rFonts w:ascii="宋体"/>
          <w:szCs w:val="21"/>
        </w:rPr>
      </w:pPr>
    </w:p>
    <w:p>
      <w:pPr>
        <w:spacing w:line="312" w:lineRule="auto"/>
        <w:ind w:firstLine="420" w:firstLineChars="150"/>
        <w:rPr>
          <w:rFonts w:ascii="宋体"/>
          <w:sz w:val="28"/>
          <w:szCs w:val="28"/>
        </w:rPr>
      </w:pPr>
    </w:p>
    <w:p>
      <w:pPr>
        <w:spacing w:line="312" w:lineRule="auto"/>
        <w:ind w:firstLine="562" w:firstLineChars="200"/>
        <w:rPr>
          <w:b/>
          <w:sz w:val="28"/>
          <w:szCs w:val="28"/>
        </w:rPr>
      </w:pPr>
    </w:p>
    <w:p>
      <w:pPr>
        <w:spacing w:line="312" w:lineRule="auto"/>
        <w:rPr>
          <w:b/>
          <w:sz w:val="28"/>
          <w:szCs w:val="28"/>
        </w:rPr>
        <w:sectPr>
          <w:pgSz w:w="11906" w:h="16838"/>
          <w:pgMar w:top="1440" w:right="1800" w:bottom="1440" w:left="1800" w:header="851" w:footer="992" w:gutter="0"/>
          <w:cols w:space="720" w:num="1"/>
          <w:docGrid w:type="lines" w:linePitch="312" w:charSpace="0"/>
        </w:sectPr>
      </w:pPr>
    </w:p>
    <w:p>
      <w:pPr>
        <w:spacing w:line="360" w:lineRule="auto"/>
        <w:rPr>
          <w:b/>
          <w:sz w:val="28"/>
          <w:szCs w:val="28"/>
        </w:rPr>
      </w:pPr>
      <w:r>
        <w:rPr>
          <w:rFonts w:hint="eastAsia"/>
          <w:b/>
          <w:sz w:val="28"/>
          <w:szCs w:val="28"/>
        </w:rPr>
        <w:t>附件1</w:t>
      </w:r>
    </w:p>
    <w:p>
      <w:pPr>
        <w:spacing w:line="360" w:lineRule="auto"/>
        <w:ind w:left="720"/>
        <w:jc w:val="center"/>
        <w:rPr>
          <w:rFonts w:ascii="宋体"/>
          <w:b/>
          <w:sz w:val="28"/>
          <w:szCs w:val="28"/>
        </w:rPr>
      </w:pPr>
      <w:r>
        <w:rPr>
          <w:rFonts w:hint="eastAsia"/>
          <w:b/>
          <w:sz w:val="28"/>
          <w:szCs w:val="28"/>
        </w:rPr>
        <w:t>法定代表人身份证明或授权委托书</w:t>
      </w:r>
    </w:p>
    <w:p>
      <w:pPr>
        <w:spacing w:line="336" w:lineRule="auto"/>
        <w:jc w:val="center"/>
        <w:rPr>
          <w:rFonts w:ascii="宋体"/>
          <w:b/>
          <w:sz w:val="24"/>
        </w:rPr>
      </w:pPr>
      <w:r>
        <w:rPr>
          <w:rFonts w:hint="eastAsia" w:ascii="宋体"/>
          <w:b/>
          <w:sz w:val="24"/>
        </w:rPr>
        <w:t>1、法定代表人身份证明</w:t>
      </w:r>
    </w:p>
    <w:p>
      <w:pPr>
        <w:spacing w:line="336" w:lineRule="auto"/>
        <w:ind w:firstLine="480" w:firstLineChars="200"/>
        <w:rPr>
          <w:rFonts w:ascii="宋体"/>
          <w:sz w:val="24"/>
        </w:rPr>
      </w:pPr>
      <w:r>
        <w:rPr>
          <w:rFonts w:hint="eastAsia" w:ascii="宋体"/>
          <w:sz w:val="24"/>
        </w:rPr>
        <w:t>投标人名称：</w:t>
      </w:r>
      <w:r>
        <w:rPr>
          <w:rFonts w:hint="eastAsia" w:ascii="宋体"/>
          <w:sz w:val="24"/>
          <w:u w:val="single"/>
        </w:rPr>
        <w:t xml:space="preserve">                                </w:t>
      </w:r>
      <w:r>
        <w:rPr>
          <w:rFonts w:hint="eastAsia" w:ascii="宋体"/>
          <w:sz w:val="24"/>
        </w:rPr>
        <w:t xml:space="preserve"> </w:t>
      </w:r>
    </w:p>
    <w:p>
      <w:pPr>
        <w:spacing w:line="336" w:lineRule="auto"/>
        <w:ind w:firstLine="480" w:firstLineChars="200"/>
        <w:rPr>
          <w:rFonts w:ascii="宋体"/>
          <w:sz w:val="24"/>
        </w:rPr>
      </w:pPr>
      <w:r>
        <w:rPr>
          <w:rFonts w:hint="eastAsia" w:ascii="宋体"/>
          <w:sz w:val="24"/>
        </w:rPr>
        <w:t xml:space="preserve">单位性质： </w:t>
      </w:r>
      <w:r>
        <w:rPr>
          <w:rFonts w:hint="eastAsia" w:ascii="宋体"/>
          <w:sz w:val="24"/>
          <w:u w:val="single"/>
        </w:rPr>
        <w:t xml:space="preserve">                                  </w:t>
      </w:r>
      <w:r>
        <w:rPr>
          <w:rFonts w:hint="eastAsia" w:ascii="宋体"/>
          <w:sz w:val="24"/>
        </w:rPr>
        <w:t xml:space="preserve"> </w:t>
      </w:r>
    </w:p>
    <w:p>
      <w:pPr>
        <w:spacing w:line="336" w:lineRule="auto"/>
        <w:ind w:firstLine="480" w:firstLineChars="200"/>
        <w:rPr>
          <w:rFonts w:ascii="宋体"/>
          <w:sz w:val="24"/>
        </w:rPr>
      </w:pPr>
      <w:r>
        <w:rPr>
          <w:rFonts w:hint="eastAsia" w:ascii="宋体"/>
          <w:sz w:val="24"/>
        </w:rPr>
        <w:t>地    址：</w:t>
      </w:r>
      <w:r>
        <w:rPr>
          <w:rFonts w:hint="eastAsia" w:ascii="宋体"/>
          <w:sz w:val="24"/>
          <w:u w:val="single"/>
        </w:rPr>
        <w:t xml:space="preserve">                                   </w:t>
      </w:r>
      <w:r>
        <w:rPr>
          <w:rFonts w:hint="eastAsia" w:ascii="宋体"/>
          <w:sz w:val="24"/>
        </w:rPr>
        <w:t xml:space="preserve"> </w:t>
      </w:r>
    </w:p>
    <w:p>
      <w:pPr>
        <w:spacing w:line="336" w:lineRule="auto"/>
        <w:ind w:firstLine="480" w:firstLineChars="200"/>
        <w:rPr>
          <w:rFonts w:ascii="宋体"/>
          <w:sz w:val="24"/>
        </w:rPr>
      </w:pPr>
      <w:r>
        <w:rPr>
          <w:rFonts w:hint="eastAsia" w:ascii="宋体"/>
          <w:sz w:val="24"/>
        </w:rPr>
        <w:t>成立时间：</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 xml:space="preserve"> 日</w:t>
      </w:r>
    </w:p>
    <w:p>
      <w:pPr>
        <w:spacing w:line="336" w:lineRule="auto"/>
        <w:ind w:firstLine="480" w:firstLineChars="200"/>
        <w:rPr>
          <w:rFonts w:ascii="宋体"/>
          <w:sz w:val="24"/>
        </w:rPr>
      </w:pPr>
      <w:r>
        <w:rPr>
          <w:rFonts w:hint="eastAsia" w:ascii="宋体"/>
          <w:sz w:val="24"/>
        </w:rPr>
        <w:t>经营期限：</w:t>
      </w:r>
      <w:r>
        <w:rPr>
          <w:rFonts w:hint="eastAsia" w:ascii="宋体"/>
          <w:sz w:val="24"/>
          <w:u w:val="single"/>
        </w:rPr>
        <w:t xml:space="preserve">                                </w:t>
      </w:r>
      <w:r>
        <w:rPr>
          <w:rFonts w:hint="eastAsia" w:ascii="宋体"/>
          <w:sz w:val="24"/>
        </w:rPr>
        <w:t xml:space="preserve"> </w:t>
      </w:r>
    </w:p>
    <w:p>
      <w:pPr>
        <w:spacing w:line="336" w:lineRule="auto"/>
        <w:ind w:firstLine="1440" w:firstLineChars="200"/>
        <w:rPr>
          <w:rFonts w:ascii="宋体"/>
          <w:sz w:val="24"/>
        </w:rPr>
      </w:pPr>
      <w:r>
        <w:rPr>
          <w:rFonts w:hint="eastAsia" w:ascii="宋体"/>
          <w:spacing w:val="240"/>
          <w:sz w:val="24"/>
        </w:rPr>
        <w:t>姓</w:t>
      </w:r>
      <w:r>
        <w:rPr>
          <w:rFonts w:hint="eastAsia" w:ascii="宋体"/>
          <w:sz w:val="24"/>
        </w:rPr>
        <w:t>名：</w:t>
      </w:r>
      <w:r>
        <w:rPr>
          <w:rFonts w:hint="eastAsia" w:ascii="宋体"/>
          <w:sz w:val="24"/>
          <w:u w:val="single"/>
        </w:rPr>
        <w:t xml:space="preserve">           </w:t>
      </w:r>
      <w:r>
        <w:rPr>
          <w:rFonts w:hint="eastAsia" w:ascii="宋体"/>
          <w:sz w:val="24"/>
        </w:rPr>
        <w:t>性别：</w:t>
      </w:r>
      <w:r>
        <w:rPr>
          <w:rFonts w:hint="eastAsia" w:ascii="宋体"/>
          <w:sz w:val="24"/>
          <w:u w:val="single"/>
        </w:rPr>
        <w:t xml:space="preserve">        </w:t>
      </w:r>
      <w:r>
        <w:rPr>
          <w:rFonts w:hint="eastAsia" w:ascii="宋体"/>
          <w:sz w:val="24"/>
        </w:rPr>
        <w:t>年龄：</w:t>
      </w:r>
      <w:r>
        <w:rPr>
          <w:rFonts w:hint="eastAsia" w:ascii="宋体"/>
          <w:sz w:val="24"/>
          <w:u w:val="single"/>
        </w:rPr>
        <w:t xml:space="preserve">     </w:t>
      </w:r>
      <w:r>
        <w:rPr>
          <w:rFonts w:hint="eastAsia" w:ascii="宋体"/>
          <w:sz w:val="24"/>
        </w:rPr>
        <w:t>职务：</w:t>
      </w:r>
      <w:r>
        <w:rPr>
          <w:rFonts w:hint="eastAsia" w:ascii="宋体"/>
          <w:sz w:val="24"/>
          <w:u w:val="single"/>
        </w:rPr>
        <w:t xml:space="preserve">       </w:t>
      </w:r>
    </w:p>
    <w:p>
      <w:pPr>
        <w:spacing w:line="336" w:lineRule="auto"/>
        <w:ind w:firstLine="480" w:firstLineChars="200"/>
        <w:rPr>
          <w:rFonts w:ascii="宋体"/>
          <w:sz w:val="24"/>
        </w:rPr>
      </w:pPr>
      <w:r>
        <w:rPr>
          <w:rFonts w:hint="eastAsia" w:ascii="宋体"/>
          <w:sz w:val="24"/>
        </w:rPr>
        <w:t>系</w:t>
      </w:r>
      <w:r>
        <w:rPr>
          <w:rFonts w:hint="eastAsia" w:ascii="宋体"/>
          <w:sz w:val="24"/>
          <w:u w:val="single"/>
        </w:rPr>
        <w:t xml:space="preserve">                                </w:t>
      </w:r>
      <w:r>
        <w:rPr>
          <w:rFonts w:hint="eastAsia" w:ascii="宋体"/>
          <w:sz w:val="24"/>
        </w:rPr>
        <w:t>（投标人名称）的法定代表人</w:t>
      </w:r>
      <w:r>
        <w:rPr>
          <w:rFonts w:hint="eastAsia"/>
          <w:szCs w:val="22"/>
        </w:rPr>
        <w:t>（分支机构负责人）</w:t>
      </w:r>
      <w:r>
        <w:rPr>
          <w:rFonts w:hint="eastAsia" w:ascii="宋体"/>
          <w:sz w:val="24"/>
        </w:rPr>
        <w:t>。</w:t>
      </w:r>
    </w:p>
    <w:p>
      <w:pPr>
        <w:spacing w:line="336" w:lineRule="auto"/>
        <w:ind w:firstLine="960" w:firstLineChars="400"/>
        <w:rPr>
          <w:rFonts w:ascii="宋体"/>
          <w:sz w:val="24"/>
        </w:rPr>
      </w:pPr>
      <w:r>
        <w:rPr>
          <w:rFonts w:hint="eastAsia" w:ascii="宋体"/>
          <w:sz w:val="24"/>
        </w:rPr>
        <w:t>特此证明。</w:t>
      </w:r>
    </w:p>
    <w:p>
      <w:pPr>
        <w:spacing w:line="336" w:lineRule="auto"/>
        <w:ind w:firstLine="3480" w:firstLineChars="1450"/>
        <w:rPr>
          <w:rFonts w:ascii="宋体"/>
          <w:sz w:val="24"/>
        </w:rPr>
      </w:pPr>
      <w:r>
        <w:rPr>
          <w:rFonts w:hint="eastAsia" w:ascii="宋体"/>
          <w:sz w:val="24"/>
        </w:rPr>
        <w:t>投标人：</w:t>
      </w:r>
      <w:r>
        <w:rPr>
          <w:rFonts w:hint="eastAsia" w:ascii="宋体"/>
          <w:sz w:val="24"/>
          <w:u w:val="single"/>
        </w:rPr>
        <w:t xml:space="preserve">                 </w:t>
      </w:r>
      <w:r>
        <w:rPr>
          <w:rFonts w:hint="eastAsia" w:ascii="宋体"/>
          <w:sz w:val="24"/>
        </w:rPr>
        <w:t>（盖单位章）</w:t>
      </w:r>
    </w:p>
    <w:p>
      <w:pPr>
        <w:spacing w:line="336" w:lineRule="auto"/>
        <w:rPr>
          <w:rFonts w:ascii="宋体"/>
          <w:sz w:val="24"/>
        </w:rPr>
      </w:pPr>
      <w:r>
        <w:rPr>
          <w:rFonts w:hint="eastAsia" w:ascii="宋体"/>
          <w:sz w:val="24"/>
        </w:rPr>
        <w:t xml:space="preserve">                                        年    月     日</w:t>
      </w:r>
    </w:p>
    <w:p>
      <w:pPr>
        <w:spacing w:line="336" w:lineRule="auto"/>
        <w:jc w:val="center"/>
        <w:rPr>
          <w:rFonts w:ascii="宋体"/>
          <w:b/>
          <w:bCs/>
          <w:kern w:val="0"/>
          <w:sz w:val="24"/>
          <w:u w:color="000000"/>
        </w:rPr>
      </w:pPr>
      <w:r>
        <w:rPr>
          <w:rFonts w:hint="eastAsia" w:ascii="宋体"/>
          <w:b/>
          <w:bCs/>
          <w:kern w:val="0"/>
          <w:sz w:val="24"/>
          <w:u w:color="000000"/>
        </w:rPr>
        <w:t>2、授权委托书</w:t>
      </w:r>
    </w:p>
    <w:p>
      <w:pPr>
        <w:spacing w:after="120"/>
        <w:ind w:firstLine="480" w:firstLineChars="200"/>
        <w:rPr>
          <w:rFonts w:ascii="宋体"/>
          <w:sz w:val="28"/>
          <w:szCs w:val="28"/>
        </w:rPr>
      </w:pPr>
      <w:r>
        <w:rPr>
          <w:rFonts w:hint="eastAsia"/>
          <w:sz w:val="24"/>
          <w:u w:val="single"/>
        </w:rPr>
        <w:t xml:space="preserve"> </w:t>
      </w:r>
      <w:r>
        <w:rPr>
          <w:sz w:val="24"/>
          <w:u w:val="single"/>
        </w:rPr>
        <w:t xml:space="preserve">            </w:t>
      </w:r>
      <w:r>
        <w:rPr>
          <w:rFonts w:hint="eastAsia"/>
          <w:sz w:val="24"/>
        </w:rPr>
        <w:t xml:space="preserve">（投标人） </w:t>
      </w:r>
      <w:r>
        <w:rPr>
          <w:rFonts w:hint="eastAsia"/>
          <w:sz w:val="24"/>
          <w:u w:val="single"/>
        </w:rPr>
        <w:t xml:space="preserve"> </w:t>
      </w:r>
      <w:r>
        <w:rPr>
          <w:sz w:val="24"/>
          <w:u w:val="single"/>
        </w:rPr>
        <w:t xml:space="preserve">       </w:t>
      </w:r>
      <w:r>
        <w:rPr>
          <w:rFonts w:hint="eastAsia"/>
          <w:sz w:val="24"/>
        </w:rPr>
        <w:t>（法定代表人）</w:t>
      </w:r>
      <w:r>
        <w:rPr>
          <w:sz w:val="24"/>
        </w:rPr>
        <w:t>现授权</w:t>
      </w:r>
      <w:r>
        <w:rPr>
          <w:rFonts w:hint="eastAsia"/>
          <w:sz w:val="24"/>
          <w:u w:val="single"/>
        </w:rPr>
        <w:t xml:space="preserve"> </w:t>
      </w:r>
      <w:r>
        <w:rPr>
          <w:sz w:val="24"/>
          <w:u w:val="single"/>
        </w:rPr>
        <w:t xml:space="preserve">        </w:t>
      </w:r>
      <w:r>
        <w:rPr>
          <w:rFonts w:hint="eastAsia"/>
          <w:sz w:val="24"/>
        </w:rPr>
        <w:t>（职务）</w:t>
      </w:r>
      <w:r>
        <w:rPr>
          <w:rFonts w:hint="eastAsia"/>
          <w:sz w:val="24"/>
          <w:u w:val="single"/>
        </w:rPr>
        <w:t xml:space="preserve"> </w:t>
      </w:r>
      <w:r>
        <w:rPr>
          <w:sz w:val="24"/>
          <w:u w:val="single"/>
        </w:rPr>
        <w:t xml:space="preserve">      </w:t>
      </w:r>
      <w:r>
        <w:rPr>
          <w:rFonts w:hint="eastAsia"/>
          <w:sz w:val="24"/>
        </w:rPr>
        <w:t>（姓名）</w:t>
      </w:r>
      <w:r>
        <w:rPr>
          <w:sz w:val="24"/>
        </w:rPr>
        <w:t>（身份证号码：</w:t>
      </w:r>
      <w:r>
        <w:rPr>
          <w:sz w:val="24"/>
          <w:u w:val="single"/>
        </w:rPr>
        <w:t xml:space="preserve">                  </w:t>
      </w:r>
      <w:r>
        <w:rPr>
          <w:sz w:val="24"/>
        </w:rPr>
        <w:t xml:space="preserve"> ）为本公司合法代理人，参加</w:t>
      </w:r>
      <w:r>
        <w:rPr>
          <w:rFonts w:hint="eastAsia"/>
          <w:sz w:val="24"/>
          <w:u w:val="single"/>
        </w:rPr>
        <w:t xml:space="preserve"> </w:t>
      </w:r>
      <w:r>
        <w:rPr>
          <w:sz w:val="24"/>
          <w:u w:val="single"/>
        </w:rPr>
        <w:t xml:space="preserve">                   </w:t>
      </w:r>
      <w:r>
        <w:rPr>
          <w:rFonts w:hint="eastAsia"/>
          <w:sz w:val="24"/>
        </w:rPr>
        <w:t>（项目名称）</w:t>
      </w:r>
      <w:r>
        <w:rPr>
          <w:sz w:val="24"/>
        </w:rPr>
        <w:t>的投标工作，在授权范围内处理与之相关事宜并签署相关文件。授权期限为本授权书签署之日起至前述投标结束，且不超过本授权书签署之日起的六个月。</w:t>
      </w:r>
      <w:r>
        <w:rPr>
          <w:rFonts w:hint="eastAsia"/>
          <w:sz w:val="24"/>
        </w:rPr>
        <w:t>委托代理人</w:t>
      </w:r>
      <w:r>
        <w:rPr>
          <w:sz w:val="24"/>
        </w:rPr>
        <w:t>在授权范围和期限内所签署的文件，本公司予以承认。</w:t>
      </w:r>
    </w:p>
    <w:p>
      <w:pPr>
        <w:adjustRightInd w:val="0"/>
        <w:snapToGrid w:val="0"/>
        <w:spacing w:before="120" w:after="120"/>
        <w:ind w:firstLine="480"/>
        <w:rPr>
          <w:kern w:val="0"/>
          <w:sz w:val="24"/>
          <w:u w:val="single"/>
        </w:rPr>
      </w:pPr>
      <w:r>
        <w:rPr>
          <w:sz w:val="24"/>
        </w:rPr>
        <w:t>本授权书仅用于</w:t>
      </w:r>
      <w:r>
        <w:rPr>
          <w:rFonts w:hint="eastAsia"/>
          <w:sz w:val="24"/>
          <w:u w:val="single"/>
        </w:rPr>
        <w:t xml:space="preserve"> </w:t>
      </w:r>
      <w:r>
        <w:rPr>
          <w:sz w:val="24"/>
          <w:u w:val="single"/>
        </w:rPr>
        <w:t xml:space="preserve">              </w:t>
      </w:r>
      <w:r>
        <w:rPr>
          <w:rFonts w:hint="eastAsia"/>
          <w:sz w:val="24"/>
        </w:rPr>
        <w:t>（项目名称）</w:t>
      </w:r>
      <w:r>
        <w:rPr>
          <w:sz w:val="24"/>
        </w:rPr>
        <w:t>的投标工作，被授权人不得转授权。</w:t>
      </w:r>
    </w:p>
    <w:p>
      <w:pPr>
        <w:widowControl/>
        <w:spacing w:before="120" w:after="120"/>
        <w:ind w:firstLine="480"/>
        <w:jc w:val="left"/>
        <w:rPr>
          <w:bCs/>
          <w:kern w:val="44"/>
          <w:sz w:val="24"/>
        </w:rPr>
      </w:pPr>
    </w:p>
    <w:p>
      <w:pPr>
        <w:adjustRightInd w:val="0"/>
        <w:snapToGrid w:val="0"/>
        <w:spacing w:before="120" w:after="120"/>
        <w:ind w:firstLine="480"/>
        <w:rPr>
          <w:sz w:val="24"/>
        </w:rPr>
      </w:pPr>
      <w:r>
        <w:rPr>
          <w:rFonts w:hint="eastAsia"/>
          <w:sz w:val="24"/>
        </w:rPr>
        <w:t>法定代表人</w:t>
      </w:r>
      <w:r>
        <w:rPr>
          <w:sz w:val="24"/>
        </w:rPr>
        <w:t>（签字/签章）：</w:t>
      </w:r>
      <w:r>
        <w:rPr>
          <w:sz w:val="24"/>
          <w:u w:val="single"/>
        </w:rPr>
        <w:t xml:space="preserve">             </w:t>
      </w:r>
    </w:p>
    <w:p>
      <w:pPr>
        <w:adjustRightInd w:val="0"/>
        <w:snapToGrid w:val="0"/>
        <w:spacing w:before="120" w:after="120"/>
        <w:ind w:firstLine="480"/>
        <w:rPr>
          <w:sz w:val="24"/>
        </w:rPr>
      </w:pPr>
      <w:r>
        <w:rPr>
          <w:rFonts w:hint="eastAsia"/>
          <w:sz w:val="24"/>
        </w:rPr>
        <w:t>委托代理人</w:t>
      </w:r>
      <w:r>
        <w:rPr>
          <w:sz w:val="24"/>
        </w:rPr>
        <w:t>（签字）：</w:t>
      </w:r>
      <w:r>
        <w:rPr>
          <w:sz w:val="24"/>
          <w:u w:val="single"/>
        </w:rPr>
        <w:t xml:space="preserve">                </w:t>
      </w:r>
    </w:p>
    <w:p>
      <w:pPr>
        <w:adjustRightInd w:val="0"/>
        <w:snapToGrid w:val="0"/>
        <w:spacing w:before="120" w:after="120"/>
        <w:ind w:firstLine="480"/>
        <w:rPr>
          <w:sz w:val="24"/>
        </w:rPr>
      </w:pPr>
      <w:r>
        <w:rPr>
          <w:rFonts w:hint="eastAsia"/>
          <w:sz w:val="24"/>
        </w:rPr>
        <w:t>投标人</w:t>
      </w:r>
      <w:r>
        <w:rPr>
          <w:sz w:val="24"/>
        </w:rPr>
        <w:t>（</w:t>
      </w:r>
      <w:r>
        <w:rPr>
          <w:rFonts w:hint="eastAsia"/>
          <w:sz w:val="24"/>
        </w:rPr>
        <w:t>盖章</w:t>
      </w:r>
      <w:r>
        <w:rPr>
          <w:sz w:val="24"/>
        </w:rPr>
        <w:t>）</w:t>
      </w:r>
      <w:r>
        <w:rPr>
          <w:rFonts w:hint="eastAsia"/>
          <w:sz w:val="24"/>
        </w:rPr>
        <w:t>：</w:t>
      </w:r>
      <w:r>
        <w:rPr>
          <w:rFonts w:hint="eastAsia"/>
          <w:sz w:val="24"/>
          <w:u w:val="single"/>
        </w:rPr>
        <w:t xml:space="preserve"> </w:t>
      </w:r>
      <w:r>
        <w:rPr>
          <w:sz w:val="24"/>
          <w:u w:val="single"/>
        </w:rPr>
        <w:t xml:space="preserve">                 </w:t>
      </w:r>
    </w:p>
    <w:p>
      <w:pPr>
        <w:adjustRightInd w:val="0"/>
        <w:snapToGrid w:val="0"/>
        <w:spacing w:before="120" w:after="120"/>
        <w:ind w:firstLine="480" w:firstLineChars="200"/>
        <w:rPr>
          <w:sz w:val="24"/>
          <w:u w:val="single"/>
        </w:rPr>
      </w:pPr>
      <w:r>
        <w:rPr>
          <w:sz w:val="24"/>
        </w:rPr>
        <w:t>住所：</w:t>
      </w:r>
      <w:r>
        <w:rPr>
          <w:sz w:val="24"/>
          <w:u w:val="single"/>
        </w:rPr>
        <w:t xml:space="preserve">  </w:t>
      </w:r>
      <w:r>
        <w:rPr>
          <w:rFonts w:hint="eastAsia"/>
          <w:sz w:val="24"/>
          <w:u w:val="single"/>
        </w:rPr>
        <w:t xml:space="preserve"> </w:t>
      </w:r>
      <w:r>
        <w:rPr>
          <w:sz w:val="24"/>
          <w:u w:val="single"/>
        </w:rPr>
        <w:t xml:space="preserve">                        </w:t>
      </w:r>
    </w:p>
    <w:p>
      <w:pPr>
        <w:adjustRightInd w:val="0"/>
        <w:snapToGrid w:val="0"/>
        <w:spacing w:before="120" w:after="120"/>
        <w:ind w:firstLine="480" w:firstLineChars="200"/>
        <w:rPr>
          <w:sz w:val="24"/>
        </w:rPr>
      </w:pPr>
      <w:r>
        <w:rPr>
          <w:sz w:val="24"/>
        </w:rPr>
        <w:t>日期：    年    月</w:t>
      </w:r>
      <w:r>
        <w:rPr>
          <w:rFonts w:hint="eastAsia"/>
          <w:sz w:val="24"/>
        </w:rPr>
        <w:t xml:space="preserve"> </w:t>
      </w:r>
      <w:r>
        <w:rPr>
          <w:sz w:val="24"/>
        </w:rPr>
        <w:t xml:space="preserve">  日</w:t>
      </w:r>
    </w:p>
    <w:p>
      <w:pPr>
        <w:ind w:firstLine="482" w:firstLineChars="200"/>
        <w:rPr>
          <w:rFonts w:ascii="宋体"/>
          <w:b/>
          <w:sz w:val="24"/>
        </w:rPr>
      </w:pPr>
      <w:r>
        <w:rPr>
          <w:rFonts w:hint="eastAsia" w:ascii="宋体"/>
          <w:b/>
          <w:sz w:val="24"/>
        </w:rPr>
        <w:t>附：法定代表人及委托代理人身份证复印件</w:t>
      </w:r>
    </w:p>
    <w:p/>
    <w:p>
      <w:pPr>
        <w:spacing w:before="156" w:beforeLines="50" w:after="156" w:afterLines="50"/>
        <w:jc w:val="center"/>
        <w:rPr>
          <w:rFonts w:ascii="宋体"/>
          <w:b/>
          <w:kern w:val="0"/>
          <w:sz w:val="24"/>
          <w:u w:color="000000"/>
        </w:rPr>
      </w:pPr>
      <w:r>
        <w:rPr>
          <w:rFonts w:hint="eastAsia" w:ascii="宋体"/>
          <w:b/>
          <w:bCs/>
          <w:kern w:val="0"/>
          <w:sz w:val="24"/>
          <w:u w:color="000000"/>
        </w:rPr>
        <w:t>3、项目负责人、授权代理人身份证</w:t>
      </w:r>
      <w:r>
        <w:rPr>
          <w:rFonts w:hint="eastAsia" w:ascii="宋体"/>
          <w:b/>
          <w:kern w:val="0"/>
          <w:sz w:val="24"/>
          <w:u w:color="000000"/>
        </w:rPr>
        <w:t>复印件</w:t>
      </w:r>
      <w:r>
        <w:rPr>
          <w:rFonts w:hint="eastAsia" w:ascii="宋体"/>
          <w:b/>
          <w:bCs/>
          <w:kern w:val="0"/>
          <w:sz w:val="24"/>
          <w:u w:color="000000"/>
        </w:rPr>
        <w:t>及联系方式、微信账号</w:t>
      </w:r>
    </w:p>
    <w:p>
      <w:pPr>
        <w:widowControl/>
        <w:jc w:val="left"/>
        <w:rPr>
          <w:rFonts w:ascii="宋体" w:cs="宋体"/>
          <w:b/>
          <w:sz w:val="28"/>
          <w:szCs w:val="28"/>
        </w:rPr>
      </w:pPr>
      <w:r>
        <w:rPr>
          <w:rFonts w:ascii="宋体" w:cs="宋体"/>
          <w:b/>
          <w:sz w:val="28"/>
          <w:szCs w:val="28"/>
        </w:rPr>
        <w:br w:type="page"/>
      </w:r>
    </w:p>
    <w:p>
      <w:pPr>
        <w:pStyle w:val="6"/>
        <w:numPr>
          <w:ilvl w:val="0"/>
          <w:numId w:val="0"/>
        </w:numPr>
        <w:spacing w:line="312" w:lineRule="auto"/>
        <w:ind w:left="851"/>
        <w:rPr>
          <w:rFonts w:ascii="宋体" w:hAnsi="宋体"/>
          <w:b/>
          <w:sz w:val="28"/>
          <w:szCs w:val="28"/>
          <w:bdr w:val="single" w:color="000000" w:sz="4" w:space="0"/>
        </w:rPr>
      </w:pPr>
      <w:bookmarkStart w:id="123" w:name="_Toc19191226"/>
      <w:bookmarkStart w:id="124" w:name="_Toc17470"/>
      <w:bookmarkStart w:id="125" w:name="_Toc2805"/>
      <w:r>
        <w:rPr>
          <w:rFonts w:hint="eastAsia" w:ascii="宋体" w:hAnsi="宋体"/>
          <w:b/>
          <w:sz w:val="28"/>
          <w:szCs w:val="28"/>
        </w:rPr>
        <w:t>二、技术标格式文件</w:t>
      </w:r>
      <w:bookmarkEnd w:id="123"/>
      <w:bookmarkEnd w:id="124"/>
      <w:bookmarkEnd w:id="125"/>
    </w:p>
    <w:p>
      <w:pPr>
        <w:jc w:val="right"/>
        <w:rPr>
          <w:rFonts w:ascii="宋体"/>
          <w:sz w:val="28"/>
          <w:szCs w:val="28"/>
          <w:bdr w:val="single" w:color="000000" w:sz="4" w:space="0"/>
        </w:rPr>
      </w:pPr>
      <w:r>
        <w:rPr>
          <w:rFonts w:hint="eastAsia" w:ascii="宋体"/>
          <w:sz w:val="28"/>
          <w:szCs w:val="28"/>
          <w:bdr w:val="single" w:color="000000" w:sz="4" w:space="0"/>
        </w:rPr>
        <w:t>注明正本或副本</w:t>
      </w:r>
    </w:p>
    <w:p>
      <w:pPr>
        <w:pStyle w:val="2"/>
        <w:spacing w:line="312" w:lineRule="auto"/>
        <w:ind w:left="0" w:leftChars="0" w:firstLine="0" w:firstLineChars="0"/>
      </w:pPr>
    </w:p>
    <w:p>
      <w:pPr>
        <w:spacing w:line="312" w:lineRule="auto"/>
        <w:jc w:val="center"/>
        <w:rPr>
          <w:rFonts w:ascii="宋体"/>
          <w:b/>
          <w:sz w:val="44"/>
          <w:szCs w:val="44"/>
        </w:rPr>
      </w:pPr>
      <w:r>
        <w:rPr>
          <w:rFonts w:hint="eastAsia" w:ascii="宋体"/>
          <w:b/>
          <w:sz w:val="44"/>
          <w:szCs w:val="44"/>
        </w:rPr>
        <w:t>技术标</w:t>
      </w:r>
    </w:p>
    <w:p>
      <w:pPr>
        <w:spacing w:line="312" w:lineRule="auto"/>
        <w:jc w:val="center"/>
        <w:rPr>
          <w:rFonts w:ascii="宋体"/>
          <w:sz w:val="32"/>
          <w:szCs w:val="32"/>
        </w:rPr>
      </w:pPr>
      <w:r>
        <w:rPr>
          <w:rFonts w:hint="eastAsia" w:ascii="宋体"/>
          <w:sz w:val="32"/>
          <w:szCs w:val="32"/>
        </w:rPr>
        <w:t>（投标文件二）</w:t>
      </w:r>
    </w:p>
    <w:p>
      <w:pPr>
        <w:spacing w:line="312" w:lineRule="auto"/>
        <w:jc w:val="center"/>
        <w:rPr>
          <w:rFonts w:eastAsia="黑体"/>
          <w:sz w:val="44"/>
          <w:szCs w:val="44"/>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w:t>
      </w:r>
    </w:p>
    <w:p>
      <w:pPr>
        <w:spacing w:line="312" w:lineRule="auto"/>
        <w:jc w:val="center"/>
        <w:rPr>
          <w:rFonts w:ascii="宋体"/>
          <w:sz w:val="44"/>
          <w:szCs w:val="44"/>
        </w:rPr>
      </w:pPr>
      <w:r>
        <w:rPr>
          <w:rFonts w:hint="eastAsia" w:ascii="宋体"/>
          <w:sz w:val="28"/>
          <w:szCs w:val="28"/>
          <w:u w:val="single"/>
        </w:rPr>
        <w:t xml:space="preserve">  </w:t>
      </w: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jc w:val="center"/>
        <w:rPr>
          <w:rFonts w:ascii="宋体"/>
          <w:sz w:val="28"/>
          <w:szCs w:val="28"/>
          <w:u w:val="single"/>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（盖章）</w:t>
      </w:r>
    </w:p>
    <w:p>
      <w:pPr>
        <w:spacing w:line="312" w:lineRule="auto"/>
        <w:jc w:val="center"/>
        <w:rPr>
          <w:rFonts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312" w:lineRule="auto"/>
        <w:jc w:val="center"/>
        <w:rPr>
          <w:rFonts w:ascii="宋体"/>
          <w:sz w:val="28"/>
          <w:szCs w:val="28"/>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312" w:lineRule="auto"/>
        <w:jc w:val="center"/>
        <w:rPr>
          <w:rFonts w:ascii="宋体"/>
          <w:b/>
          <w:sz w:val="36"/>
          <w:szCs w:val="36"/>
        </w:rPr>
      </w:pPr>
    </w:p>
    <w:p>
      <w:pPr>
        <w:spacing w:line="312" w:lineRule="auto"/>
        <w:ind w:firstLine="3379" w:firstLineChars="935"/>
        <w:rPr>
          <w:b/>
          <w:sz w:val="36"/>
        </w:rPr>
      </w:pPr>
    </w:p>
    <w:p>
      <w:pPr>
        <w:spacing w:line="312" w:lineRule="auto"/>
        <w:ind w:firstLine="3744" w:firstLineChars="1036"/>
        <w:rPr>
          <w:b/>
          <w:sz w:val="36"/>
          <w:szCs w:val="36"/>
        </w:rPr>
      </w:pPr>
      <w:r>
        <w:rPr>
          <w:rFonts w:hint="eastAsia"/>
          <w:b/>
          <w:sz w:val="36"/>
          <w:szCs w:val="36"/>
        </w:rPr>
        <w:t>目   录</w:t>
      </w:r>
    </w:p>
    <w:p>
      <w:pPr>
        <w:spacing w:line="312" w:lineRule="auto"/>
        <w:ind w:firstLine="3744" w:firstLineChars="1036"/>
        <w:rPr>
          <w:b/>
          <w:sz w:val="36"/>
          <w:szCs w:val="36"/>
        </w:rPr>
      </w:pPr>
    </w:p>
    <w:p>
      <w:pPr>
        <w:spacing w:line="312" w:lineRule="auto"/>
        <w:ind w:firstLine="420" w:firstLineChars="200"/>
        <w:rPr>
          <w:rFonts w:ascii="宋体" w:hAnsi="宋体" w:cs="宋体"/>
          <w:bCs/>
          <w:szCs w:val="21"/>
        </w:rPr>
      </w:pPr>
      <w:r>
        <w:rPr>
          <w:rFonts w:hint="eastAsia" w:ascii="宋体" w:hAnsi="宋体" w:cs="宋体"/>
          <w:bCs/>
          <w:szCs w:val="21"/>
        </w:rPr>
        <w:t>（1）</w:t>
      </w:r>
      <w:r>
        <w:rPr>
          <w:rFonts w:hint="eastAsia" w:ascii="宋体"/>
          <w:szCs w:val="21"/>
        </w:rPr>
        <w:t>服务技术方案：为本项目实施所采用的技术措施、实施方案等；</w:t>
      </w:r>
    </w:p>
    <w:p>
      <w:pPr>
        <w:spacing w:line="312" w:lineRule="auto"/>
        <w:ind w:firstLine="420" w:firstLineChars="200"/>
        <w:rPr>
          <w:rFonts w:ascii="宋体" w:hAnsi="宋体" w:cs="宋体"/>
          <w:bCs/>
          <w:szCs w:val="21"/>
        </w:rPr>
      </w:pPr>
      <w:r>
        <w:rPr>
          <w:rFonts w:hint="eastAsia" w:ascii="宋体" w:hAnsi="宋体" w:cs="宋体"/>
          <w:bCs/>
          <w:szCs w:val="21"/>
        </w:rPr>
        <w:t>（2）服务承诺：是否响应招标文件要求的书面说明和服务承诺书（格式见附件）；</w:t>
      </w:r>
    </w:p>
    <w:p>
      <w:pPr>
        <w:spacing w:line="400" w:lineRule="exact"/>
        <w:ind w:firstLine="420" w:firstLineChars="200"/>
        <w:jc w:val="left"/>
        <w:rPr>
          <w:rFonts w:ascii="宋体" w:hAnsi="宋体" w:cs="宋体"/>
          <w:bCs/>
          <w:szCs w:val="21"/>
        </w:rPr>
      </w:pPr>
      <w:r>
        <w:rPr>
          <w:rFonts w:hint="eastAsia" w:ascii="宋体" w:hAnsi="宋体" w:cs="宋体"/>
          <w:bCs/>
          <w:szCs w:val="21"/>
        </w:rPr>
        <w:t>（3）</w:t>
      </w:r>
      <w:r>
        <w:rPr>
          <w:rFonts w:hint="eastAsia" w:ascii="宋体"/>
          <w:szCs w:val="21"/>
        </w:rPr>
        <w:t>招标文件中要求的技术标评审及技术标评分的支持资料</w:t>
      </w:r>
      <w:r>
        <w:rPr>
          <w:rFonts w:hint="eastAsia" w:ascii="宋体" w:hAnsi="宋体" w:cs="宋体"/>
          <w:bCs/>
          <w:szCs w:val="21"/>
        </w:rPr>
        <w:t>；</w:t>
      </w:r>
    </w:p>
    <w:p>
      <w:pPr>
        <w:spacing w:line="400" w:lineRule="exact"/>
        <w:ind w:firstLine="420" w:firstLineChars="200"/>
        <w:jc w:val="left"/>
        <w:rPr>
          <w:rFonts w:ascii="宋体"/>
          <w:szCs w:val="21"/>
        </w:rPr>
      </w:pPr>
      <w:r>
        <w:rPr>
          <w:rFonts w:hint="eastAsia" w:ascii="宋体" w:hAnsi="宋体" w:cs="宋体"/>
          <w:bCs/>
          <w:szCs w:val="21"/>
        </w:rPr>
        <w:t>（4）</w:t>
      </w:r>
      <w:r>
        <w:rPr>
          <w:rFonts w:hint="eastAsia" w:ascii="宋体"/>
          <w:szCs w:val="21"/>
        </w:rPr>
        <w:t>投标人认为需要提供的其他技术证明材料。</w:t>
      </w:r>
    </w:p>
    <w:p>
      <w:pPr>
        <w:spacing w:line="312" w:lineRule="auto"/>
        <w:ind w:firstLine="3744" w:firstLineChars="1036"/>
        <w:rPr>
          <w:b/>
          <w:sz w:val="36"/>
          <w:szCs w:val="36"/>
        </w:rPr>
      </w:pPr>
    </w:p>
    <w:p>
      <w:pPr>
        <w:pageBreakBefore/>
        <w:spacing w:line="312" w:lineRule="auto"/>
        <w:rPr>
          <w:rFonts w:ascii="宋体" w:hAnsi="宋体"/>
          <w:b/>
          <w:sz w:val="24"/>
        </w:rPr>
      </w:pPr>
      <w:r>
        <w:rPr>
          <w:rFonts w:hint="eastAsia" w:ascii="宋体" w:hAnsi="宋体"/>
          <w:b/>
          <w:sz w:val="24"/>
        </w:rPr>
        <w:t>附件1：</w:t>
      </w:r>
    </w:p>
    <w:p>
      <w:pPr>
        <w:spacing w:line="400" w:lineRule="exact"/>
        <w:rPr>
          <w:rFonts w:ascii="宋体"/>
          <w:b/>
          <w:sz w:val="30"/>
          <w:szCs w:val="30"/>
        </w:rPr>
      </w:pPr>
      <w:r>
        <w:rPr>
          <w:rFonts w:hint="eastAsia" w:ascii="宋体"/>
          <w:b/>
          <w:sz w:val="30"/>
          <w:szCs w:val="30"/>
        </w:rPr>
        <w:t>1、服务技术方案</w:t>
      </w:r>
    </w:p>
    <w:p>
      <w:pPr>
        <w:spacing w:line="240" w:lineRule="atLeast"/>
        <w:jc w:val="center"/>
        <w:rPr>
          <w:rFonts w:ascii="宋体" w:cs="宋体"/>
          <w:szCs w:val="21"/>
        </w:rPr>
      </w:pPr>
    </w:p>
    <w:p>
      <w:pPr>
        <w:numPr>
          <w:ilvl w:val="0"/>
          <w:numId w:val="9"/>
        </w:numPr>
        <w:spacing w:line="240" w:lineRule="atLeast"/>
        <w:rPr>
          <w:rFonts w:ascii="宋体" w:cs="宋体"/>
          <w:b/>
          <w:bCs/>
          <w:szCs w:val="21"/>
        </w:rPr>
      </w:pPr>
      <w:r>
        <w:rPr>
          <w:rFonts w:hint="eastAsia" w:ascii="宋体" w:cs="宋体"/>
          <w:b/>
          <w:bCs/>
          <w:szCs w:val="21"/>
        </w:rPr>
        <w:t>投标人简介</w:t>
      </w:r>
    </w:p>
    <w:p>
      <w:pPr>
        <w:spacing w:line="240" w:lineRule="atLeast"/>
        <w:rPr>
          <w:rFonts w:ascii="宋体" w:cs="宋体"/>
          <w:b/>
          <w:bCs/>
          <w:szCs w:val="21"/>
        </w:rPr>
      </w:pPr>
    </w:p>
    <w:p>
      <w:pPr>
        <w:spacing w:line="240" w:lineRule="atLeast"/>
        <w:rPr>
          <w:rFonts w:ascii="宋体" w:cs="宋体"/>
          <w:szCs w:val="21"/>
        </w:rPr>
      </w:pPr>
      <w:r>
        <w:rPr>
          <w:rFonts w:hint="eastAsia" w:ascii="宋体" w:cs="宋体"/>
          <w:szCs w:val="21"/>
        </w:rPr>
        <w:t>1、投标人从事财务审计服务的历史、经验</w:t>
      </w:r>
    </w:p>
    <w:p>
      <w:pPr>
        <w:spacing w:line="240" w:lineRule="atLeast"/>
        <w:rPr>
          <w:rFonts w:ascii="宋体" w:cs="宋体"/>
          <w:szCs w:val="21"/>
        </w:rPr>
      </w:pPr>
      <w:r>
        <w:rPr>
          <w:rFonts w:hint="eastAsia" w:ascii="宋体" w:cs="宋体"/>
          <w:szCs w:val="21"/>
        </w:rPr>
        <w:t>2、其他</w:t>
      </w:r>
    </w:p>
    <w:p>
      <w:pPr>
        <w:spacing w:line="400" w:lineRule="exact"/>
        <w:rPr>
          <w:rFonts w:ascii="宋体"/>
          <w:b/>
          <w:sz w:val="30"/>
          <w:szCs w:val="30"/>
        </w:rPr>
      </w:pPr>
    </w:p>
    <w:p>
      <w:pPr>
        <w:spacing w:line="400" w:lineRule="exact"/>
        <w:rPr>
          <w:rFonts w:ascii="宋体" w:cs="宋体"/>
          <w:b/>
          <w:bCs/>
          <w:szCs w:val="21"/>
        </w:rPr>
      </w:pPr>
      <w:r>
        <w:rPr>
          <w:rFonts w:hint="eastAsia" w:ascii="宋体" w:cs="宋体"/>
          <w:b/>
          <w:bCs/>
          <w:szCs w:val="21"/>
        </w:rPr>
        <w:t>（ 二） 服务方案（内容包 括但不限于工作步骤、流程）</w:t>
      </w:r>
    </w:p>
    <w:p>
      <w:pPr>
        <w:spacing w:line="400" w:lineRule="exact"/>
        <w:rPr>
          <w:rFonts w:ascii="宋体" w:cs="宋体"/>
          <w:bCs/>
          <w:szCs w:val="21"/>
        </w:rPr>
      </w:pPr>
      <w:r>
        <w:rPr>
          <w:rFonts w:hint="eastAsia" w:ascii="宋体" w:cs="宋体"/>
          <w:bCs/>
          <w:szCs w:val="21"/>
        </w:rPr>
        <w:t>1、工作步骤、流程</w:t>
      </w:r>
    </w:p>
    <w:p>
      <w:pPr>
        <w:spacing w:line="400" w:lineRule="exact"/>
        <w:rPr>
          <w:rFonts w:ascii="宋体" w:cs="宋体"/>
          <w:bCs/>
          <w:szCs w:val="21"/>
        </w:rPr>
      </w:pPr>
      <w:r>
        <w:rPr>
          <w:rFonts w:hint="eastAsia" w:ascii="宋体" w:cs="宋体"/>
          <w:bCs/>
          <w:szCs w:val="21"/>
        </w:rPr>
        <w:t>（1）需要委托方做哪些配合。</w:t>
      </w:r>
    </w:p>
    <w:p>
      <w:pPr>
        <w:spacing w:line="400" w:lineRule="exact"/>
        <w:rPr>
          <w:rFonts w:ascii="宋体" w:cs="宋体"/>
          <w:bCs/>
          <w:szCs w:val="21"/>
        </w:rPr>
      </w:pPr>
      <w:r>
        <w:rPr>
          <w:rFonts w:hint="eastAsia" w:ascii="宋体" w:cs="宋体"/>
          <w:bCs/>
          <w:szCs w:val="21"/>
        </w:rPr>
        <w:t>（2）财务审计工作的程序和详细的工作步骤、流程。</w:t>
      </w:r>
    </w:p>
    <w:p>
      <w:pPr>
        <w:spacing w:line="400" w:lineRule="exact"/>
        <w:rPr>
          <w:rFonts w:ascii="宋体" w:cs="宋体"/>
          <w:bCs/>
          <w:szCs w:val="21"/>
        </w:rPr>
      </w:pPr>
      <w:r>
        <w:rPr>
          <w:rFonts w:hint="eastAsia" w:ascii="宋体" w:cs="宋体"/>
          <w:bCs/>
          <w:szCs w:val="21"/>
        </w:rPr>
        <w:t>2、明确应提交的工作成果内容。</w:t>
      </w:r>
    </w:p>
    <w:p>
      <w:pPr>
        <w:spacing w:line="400" w:lineRule="exact"/>
        <w:rPr>
          <w:rFonts w:ascii="宋体" w:cs="宋体"/>
          <w:bCs/>
          <w:szCs w:val="21"/>
        </w:rPr>
      </w:pPr>
      <w:r>
        <w:rPr>
          <w:rFonts w:hint="eastAsia" w:ascii="宋体" w:cs="宋体"/>
          <w:bCs/>
          <w:szCs w:val="21"/>
        </w:rPr>
        <w:t>3、其他</w:t>
      </w:r>
    </w:p>
    <w:p>
      <w:pPr>
        <w:spacing w:line="400" w:lineRule="exact"/>
        <w:rPr>
          <w:rFonts w:ascii="宋体" w:cs="宋体"/>
          <w:b/>
          <w:bCs/>
          <w:szCs w:val="21"/>
        </w:rPr>
      </w:pPr>
      <w:r>
        <w:rPr>
          <w:rFonts w:hint="eastAsia" w:ascii="宋体" w:cs="宋体"/>
          <w:b/>
          <w:bCs/>
          <w:szCs w:val="21"/>
        </w:rPr>
        <w:t>（ 三 ）投标人的人员力量</w:t>
      </w:r>
    </w:p>
    <w:p>
      <w:pPr>
        <w:spacing w:line="400" w:lineRule="exact"/>
        <w:rPr>
          <w:rFonts w:ascii="宋体"/>
          <w:b/>
          <w:sz w:val="30"/>
          <w:szCs w:val="30"/>
        </w:rPr>
      </w:pPr>
      <w:r>
        <w:rPr>
          <w:rFonts w:hint="eastAsia" w:ascii="宋体" w:cs="宋体"/>
          <w:szCs w:val="21"/>
        </w:rPr>
        <w:t xml:space="preserve">1 </w:t>
      </w:r>
      <w:r>
        <w:rPr>
          <w:rFonts w:hint="eastAsia" w:ascii="宋体" w:cs="宋体"/>
          <w:bCs/>
          <w:szCs w:val="21"/>
        </w:rPr>
        <w:t>、</w:t>
      </w:r>
      <w:r>
        <w:rPr>
          <w:rFonts w:hint="eastAsia" w:ascii="宋体" w:cs="宋体"/>
          <w:szCs w:val="21"/>
        </w:rPr>
        <w:t xml:space="preserve">人员力量及项目负责人 </w:t>
      </w:r>
    </w:p>
    <w:tbl>
      <w:tblPr>
        <w:tblStyle w:val="31"/>
        <w:tblW w:w="0" w:type="auto"/>
        <w:tblInd w:w="-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032"/>
        <w:gridCol w:w="1032"/>
        <w:gridCol w:w="1032"/>
        <w:gridCol w:w="1032"/>
        <w:gridCol w:w="1135"/>
        <w:gridCol w:w="1350"/>
        <w:gridCol w:w="100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tcPr>
          <w:p>
            <w:pPr>
              <w:spacing w:line="400" w:lineRule="exact"/>
              <w:jc w:val="center"/>
              <w:rPr>
                <w:rFonts w:ascii="宋体" w:cs="宋体"/>
                <w:b/>
                <w:bCs/>
                <w:szCs w:val="21"/>
              </w:rPr>
            </w:pPr>
            <w:r>
              <w:rPr>
                <w:rFonts w:hint="eastAsia" w:ascii="宋体" w:cs="宋体"/>
                <w:b/>
                <w:bCs/>
                <w:szCs w:val="21"/>
              </w:rPr>
              <w:t>序号</w:t>
            </w:r>
          </w:p>
        </w:tc>
        <w:tc>
          <w:tcPr>
            <w:tcW w:w="1032" w:type="dxa"/>
          </w:tcPr>
          <w:p>
            <w:pPr>
              <w:spacing w:line="400" w:lineRule="exact"/>
              <w:jc w:val="center"/>
              <w:rPr>
                <w:rFonts w:ascii="宋体" w:cs="宋体"/>
                <w:b/>
                <w:bCs/>
                <w:szCs w:val="21"/>
              </w:rPr>
            </w:pPr>
            <w:r>
              <w:rPr>
                <w:rFonts w:hint="eastAsia" w:ascii="宋体" w:cs="宋体"/>
                <w:b/>
                <w:bCs/>
                <w:szCs w:val="21"/>
              </w:rPr>
              <w:t>姓名</w:t>
            </w:r>
          </w:p>
        </w:tc>
        <w:tc>
          <w:tcPr>
            <w:tcW w:w="1032" w:type="dxa"/>
          </w:tcPr>
          <w:p>
            <w:pPr>
              <w:spacing w:line="400" w:lineRule="exact"/>
              <w:jc w:val="center"/>
              <w:rPr>
                <w:rFonts w:ascii="宋体" w:cs="宋体"/>
                <w:b/>
                <w:bCs/>
                <w:szCs w:val="21"/>
              </w:rPr>
            </w:pPr>
            <w:r>
              <w:rPr>
                <w:rFonts w:hint="eastAsia" w:ascii="宋体" w:cs="宋体"/>
                <w:b/>
                <w:bCs/>
                <w:szCs w:val="21"/>
              </w:rPr>
              <w:t>拟在本项目中任职</w:t>
            </w:r>
          </w:p>
        </w:tc>
        <w:tc>
          <w:tcPr>
            <w:tcW w:w="1032" w:type="dxa"/>
          </w:tcPr>
          <w:p>
            <w:pPr>
              <w:spacing w:line="400" w:lineRule="exact"/>
              <w:jc w:val="center"/>
              <w:rPr>
                <w:rFonts w:ascii="宋体" w:cs="宋体"/>
                <w:b/>
                <w:bCs/>
                <w:szCs w:val="21"/>
              </w:rPr>
            </w:pPr>
            <w:r>
              <w:rPr>
                <w:rFonts w:hint="eastAsia" w:ascii="宋体" w:cs="宋体"/>
                <w:b/>
                <w:bCs/>
                <w:szCs w:val="21"/>
              </w:rPr>
              <w:t>职称</w:t>
            </w:r>
          </w:p>
        </w:tc>
        <w:tc>
          <w:tcPr>
            <w:tcW w:w="1032" w:type="dxa"/>
          </w:tcPr>
          <w:p>
            <w:pPr>
              <w:spacing w:line="400" w:lineRule="exact"/>
              <w:jc w:val="center"/>
              <w:rPr>
                <w:rFonts w:ascii="宋体" w:cs="宋体"/>
                <w:b/>
                <w:bCs/>
                <w:szCs w:val="21"/>
              </w:rPr>
            </w:pPr>
            <w:r>
              <w:rPr>
                <w:rFonts w:hint="eastAsia" w:ascii="宋体" w:cs="宋体"/>
                <w:b/>
                <w:bCs/>
                <w:szCs w:val="21"/>
              </w:rPr>
              <w:t>资格</w:t>
            </w:r>
          </w:p>
        </w:tc>
        <w:tc>
          <w:tcPr>
            <w:tcW w:w="1135" w:type="dxa"/>
          </w:tcPr>
          <w:p>
            <w:pPr>
              <w:spacing w:line="400" w:lineRule="exact"/>
              <w:jc w:val="center"/>
              <w:rPr>
                <w:rFonts w:ascii="宋体" w:cs="宋体"/>
                <w:b/>
                <w:bCs/>
                <w:szCs w:val="21"/>
              </w:rPr>
            </w:pPr>
            <w:r>
              <w:rPr>
                <w:rFonts w:hint="eastAsia" w:ascii="宋体" w:cs="宋体"/>
                <w:b/>
                <w:bCs/>
                <w:szCs w:val="21"/>
              </w:rPr>
              <w:t>证书编号</w:t>
            </w:r>
          </w:p>
        </w:tc>
        <w:tc>
          <w:tcPr>
            <w:tcW w:w="1350" w:type="dxa"/>
          </w:tcPr>
          <w:p>
            <w:pPr>
              <w:spacing w:line="400" w:lineRule="exact"/>
              <w:jc w:val="center"/>
              <w:rPr>
                <w:rFonts w:ascii="宋体" w:cs="宋体"/>
                <w:b/>
                <w:bCs/>
                <w:szCs w:val="21"/>
              </w:rPr>
            </w:pPr>
            <w:r>
              <w:rPr>
                <w:rFonts w:hint="eastAsia" w:ascii="宋体" w:cs="宋体"/>
                <w:b/>
                <w:bCs/>
                <w:szCs w:val="21"/>
              </w:rPr>
              <w:t>身份证号码</w:t>
            </w:r>
          </w:p>
        </w:tc>
        <w:tc>
          <w:tcPr>
            <w:tcW w:w="1005" w:type="dxa"/>
          </w:tcPr>
          <w:p>
            <w:pPr>
              <w:spacing w:line="400" w:lineRule="exact"/>
              <w:jc w:val="center"/>
              <w:rPr>
                <w:rFonts w:ascii="宋体" w:cs="宋体"/>
                <w:b/>
                <w:bCs/>
                <w:szCs w:val="21"/>
              </w:rPr>
            </w:pPr>
            <w:r>
              <w:rPr>
                <w:rFonts w:hint="eastAsia" w:ascii="宋体" w:cs="宋体"/>
                <w:b/>
                <w:bCs/>
                <w:szCs w:val="21"/>
              </w:rPr>
              <w:t>手机号</w:t>
            </w:r>
          </w:p>
        </w:tc>
        <w:tc>
          <w:tcPr>
            <w:tcW w:w="1320" w:type="dxa"/>
          </w:tcPr>
          <w:p>
            <w:pPr>
              <w:spacing w:line="400" w:lineRule="exact"/>
              <w:jc w:val="center"/>
              <w:rPr>
                <w:rFonts w:ascii="宋体" w:cs="宋体"/>
                <w:b/>
                <w:bCs/>
                <w:szCs w:val="21"/>
              </w:rPr>
            </w:pPr>
            <w:r>
              <w:rPr>
                <w:rFonts w:hint="eastAsia" w:asci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Align w:val="center"/>
          </w:tcPr>
          <w:p>
            <w:pPr>
              <w:spacing w:line="400" w:lineRule="exact"/>
              <w:jc w:val="center"/>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135" w:type="dxa"/>
          </w:tcPr>
          <w:p>
            <w:pPr>
              <w:spacing w:line="400" w:lineRule="exact"/>
              <w:rPr>
                <w:rFonts w:ascii="宋体" w:cs="宋体"/>
                <w:szCs w:val="21"/>
              </w:rPr>
            </w:pPr>
          </w:p>
        </w:tc>
        <w:tc>
          <w:tcPr>
            <w:tcW w:w="1350" w:type="dxa"/>
          </w:tcPr>
          <w:p>
            <w:pPr>
              <w:spacing w:line="400" w:lineRule="exact"/>
              <w:rPr>
                <w:rFonts w:ascii="宋体" w:cs="宋体"/>
                <w:szCs w:val="21"/>
              </w:rPr>
            </w:pPr>
          </w:p>
        </w:tc>
        <w:tc>
          <w:tcPr>
            <w:tcW w:w="1005" w:type="dxa"/>
          </w:tcPr>
          <w:p>
            <w:pPr>
              <w:spacing w:line="400" w:lineRule="exact"/>
              <w:rPr>
                <w:rFonts w:ascii="宋体" w:cs="宋体"/>
                <w:szCs w:val="21"/>
              </w:rPr>
            </w:pPr>
          </w:p>
        </w:tc>
        <w:tc>
          <w:tcPr>
            <w:tcW w:w="1320" w:type="dxa"/>
          </w:tcPr>
          <w:p>
            <w:pPr>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restart"/>
            <w:vAlign w:val="center"/>
          </w:tcPr>
          <w:p>
            <w:pPr>
              <w:spacing w:line="400" w:lineRule="exact"/>
              <w:jc w:val="center"/>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135" w:type="dxa"/>
          </w:tcPr>
          <w:p>
            <w:pPr>
              <w:spacing w:line="400" w:lineRule="exact"/>
              <w:rPr>
                <w:rFonts w:ascii="宋体" w:cs="宋体"/>
                <w:szCs w:val="21"/>
              </w:rPr>
            </w:pPr>
          </w:p>
        </w:tc>
        <w:tc>
          <w:tcPr>
            <w:tcW w:w="1350" w:type="dxa"/>
          </w:tcPr>
          <w:p>
            <w:pPr>
              <w:spacing w:line="400" w:lineRule="exact"/>
              <w:rPr>
                <w:rFonts w:ascii="宋体" w:cs="宋体"/>
                <w:szCs w:val="21"/>
              </w:rPr>
            </w:pPr>
          </w:p>
        </w:tc>
        <w:tc>
          <w:tcPr>
            <w:tcW w:w="1005" w:type="dxa"/>
          </w:tcPr>
          <w:p>
            <w:pPr>
              <w:spacing w:line="400" w:lineRule="exact"/>
              <w:rPr>
                <w:rFonts w:ascii="宋体" w:cs="宋体"/>
                <w:szCs w:val="21"/>
              </w:rPr>
            </w:pPr>
          </w:p>
        </w:tc>
        <w:tc>
          <w:tcPr>
            <w:tcW w:w="1320" w:type="dxa"/>
          </w:tcPr>
          <w:p>
            <w:pPr>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continue"/>
            <w:vAlign w:val="center"/>
          </w:tcPr>
          <w:p>
            <w:pPr>
              <w:spacing w:line="400" w:lineRule="exact"/>
              <w:jc w:val="center"/>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135" w:type="dxa"/>
          </w:tcPr>
          <w:p>
            <w:pPr>
              <w:spacing w:line="400" w:lineRule="exact"/>
              <w:rPr>
                <w:rFonts w:ascii="宋体" w:cs="宋体"/>
                <w:szCs w:val="21"/>
              </w:rPr>
            </w:pPr>
          </w:p>
        </w:tc>
        <w:tc>
          <w:tcPr>
            <w:tcW w:w="1350" w:type="dxa"/>
          </w:tcPr>
          <w:p>
            <w:pPr>
              <w:spacing w:line="400" w:lineRule="exact"/>
              <w:rPr>
                <w:rFonts w:ascii="宋体" w:cs="宋体"/>
                <w:szCs w:val="21"/>
              </w:rPr>
            </w:pPr>
          </w:p>
        </w:tc>
        <w:tc>
          <w:tcPr>
            <w:tcW w:w="1005" w:type="dxa"/>
          </w:tcPr>
          <w:p>
            <w:pPr>
              <w:spacing w:line="400" w:lineRule="exact"/>
              <w:rPr>
                <w:rFonts w:ascii="宋体" w:cs="宋体"/>
                <w:szCs w:val="21"/>
              </w:rPr>
            </w:pPr>
          </w:p>
        </w:tc>
        <w:tc>
          <w:tcPr>
            <w:tcW w:w="1320" w:type="dxa"/>
          </w:tcPr>
          <w:p>
            <w:pPr>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restart"/>
            <w:vAlign w:val="center"/>
          </w:tcPr>
          <w:p>
            <w:pPr>
              <w:spacing w:line="400" w:lineRule="exact"/>
              <w:jc w:val="center"/>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135" w:type="dxa"/>
          </w:tcPr>
          <w:p>
            <w:pPr>
              <w:spacing w:line="400" w:lineRule="exact"/>
              <w:rPr>
                <w:rFonts w:ascii="宋体" w:cs="宋体"/>
                <w:szCs w:val="21"/>
              </w:rPr>
            </w:pPr>
          </w:p>
        </w:tc>
        <w:tc>
          <w:tcPr>
            <w:tcW w:w="1350" w:type="dxa"/>
          </w:tcPr>
          <w:p>
            <w:pPr>
              <w:spacing w:line="400" w:lineRule="exact"/>
              <w:rPr>
                <w:rFonts w:ascii="宋体" w:cs="宋体"/>
                <w:szCs w:val="21"/>
              </w:rPr>
            </w:pPr>
          </w:p>
        </w:tc>
        <w:tc>
          <w:tcPr>
            <w:tcW w:w="1005" w:type="dxa"/>
          </w:tcPr>
          <w:p>
            <w:pPr>
              <w:spacing w:line="400" w:lineRule="exact"/>
              <w:rPr>
                <w:rFonts w:ascii="宋体" w:cs="宋体"/>
                <w:szCs w:val="21"/>
              </w:rPr>
            </w:pPr>
          </w:p>
        </w:tc>
        <w:tc>
          <w:tcPr>
            <w:tcW w:w="1320" w:type="dxa"/>
          </w:tcPr>
          <w:p>
            <w:pPr>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continue"/>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135" w:type="dxa"/>
          </w:tcPr>
          <w:p>
            <w:pPr>
              <w:spacing w:line="400" w:lineRule="exact"/>
              <w:rPr>
                <w:rFonts w:ascii="宋体" w:cs="宋体"/>
                <w:szCs w:val="21"/>
              </w:rPr>
            </w:pPr>
          </w:p>
        </w:tc>
        <w:tc>
          <w:tcPr>
            <w:tcW w:w="1350" w:type="dxa"/>
          </w:tcPr>
          <w:p>
            <w:pPr>
              <w:spacing w:line="400" w:lineRule="exact"/>
              <w:rPr>
                <w:rFonts w:ascii="宋体" w:cs="宋体"/>
                <w:szCs w:val="21"/>
              </w:rPr>
            </w:pPr>
          </w:p>
        </w:tc>
        <w:tc>
          <w:tcPr>
            <w:tcW w:w="1005" w:type="dxa"/>
          </w:tcPr>
          <w:p>
            <w:pPr>
              <w:spacing w:line="400" w:lineRule="exact"/>
              <w:rPr>
                <w:rFonts w:ascii="宋体" w:cs="宋体"/>
                <w:szCs w:val="21"/>
              </w:rPr>
            </w:pPr>
          </w:p>
        </w:tc>
        <w:tc>
          <w:tcPr>
            <w:tcW w:w="1320" w:type="dxa"/>
          </w:tcPr>
          <w:p>
            <w:pPr>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continue"/>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135" w:type="dxa"/>
          </w:tcPr>
          <w:p>
            <w:pPr>
              <w:spacing w:line="400" w:lineRule="exact"/>
              <w:rPr>
                <w:rFonts w:ascii="宋体" w:cs="宋体"/>
                <w:szCs w:val="21"/>
              </w:rPr>
            </w:pPr>
          </w:p>
        </w:tc>
        <w:tc>
          <w:tcPr>
            <w:tcW w:w="1350" w:type="dxa"/>
          </w:tcPr>
          <w:p>
            <w:pPr>
              <w:spacing w:line="400" w:lineRule="exact"/>
              <w:rPr>
                <w:rFonts w:ascii="宋体" w:cs="宋体"/>
                <w:szCs w:val="21"/>
              </w:rPr>
            </w:pPr>
          </w:p>
        </w:tc>
        <w:tc>
          <w:tcPr>
            <w:tcW w:w="1005" w:type="dxa"/>
          </w:tcPr>
          <w:p>
            <w:pPr>
              <w:spacing w:line="400" w:lineRule="exact"/>
              <w:rPr>
                <w:rFonts w:ascii="宋体" w:cs="宋体"/>
                <w:szCs w:val="21"/>
              </w:rPr>
            </w:pPr>
          </w:p>
        </w:tc>
        <w:tc>
          <w:tcPr>
            <w:tcW w:w="1320" w:type="dxa"/>
          </w:tcPr>
          <w:p>
            <w:pPr>
              <w:spacing w:line="400" w:lineRule="exac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7" w:type="dxa"/>
            <w:vMerge w:val="continue"/>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032" w:type="dxa"/>
          </w:tcPr>
          <w:p>
            <w:pPr>
              <w:spacing w:line="400" w:lineRule="exact"/>
              <w:rPr>
                <w:rFonts w:ascii="宋体" w:cs="宋体"/>
                <w:szCs w:val="21"/>
              </w:rPr>
            </w:pPr>
          </w:p>
        </w:tc>
        <w:tc>
          <w:tcPr>
            <w:tcW w:w="1135" w:type="dxa"/>
          </w:tcPr>
          <w:p>
            <w:pPr>
              <w:spacing w:line="400" w:lineRule="exact"/>
              <w:rPr>
                <w:rFonts w:ascii="宋体" w:cs="宋体"/>
                <w:szCs w:val="21"/>
              </w:rPr>
            </w:pPr>
          </w:p>
        </w:tc>
        <w:tc>
          <w:tcPr>
            <w:tcW w:w="1350" w:type="dxa"/>
          </w:tcPr>
          <w:p>
            <w:pPr>
              <w:spacing w:line="400" w:lineRule="exact"/>
              <w:rPr>
                <w:rFonts w:ascii="宋体" w:cs="宋体"/>
                <w:szCs w:val="21"/>
              </w:rPr>
            </w:pPr>
          </w:p>
        </w:tc>
        <w:tc>
          <w:tcPr>
            <w:tcW w:w="1005" w:type="dxa"/>
          </w:tcPr>
          <w:p>
            <w:pPr>
              <w:spacing w:line="400" w:lineRule="exact"/>
              <w:rPr>
                <w:rFonts w:ascii="宋体" w:cs="宋体"/>
                <w:szCs w:val="21"/>
              </w:rPr>
            </w:pPr>
          </w:p>
        </w:tc>
        <w:tc>
          <w:tcPr>
            <w:tcW w:w="1320" w:type="dxa"/>
          </w:tcPr>
          <w:p>
            <w:pPr>
              <w:spacing w:line="400" w:lineRule="exact"/>
              <w:rPr>
                <w:rFonts w:ascii="宋体" w:cs="宋体"/>
                <w:szCs w:val="21"/>
              </w:rPr>
            </w:pPr>
          </w:p>
        </w:tc>
      </w:tr>
    </w:tbl>
    <w:p>
      <w:pPr>
        <w:spacing w:line="312" w:lineRule="auto"/>
        <w:ind w:firstLine="3744" w:firstLineChars="1036"/>
        <w:rPr>
          <w:b/>
          <w:sz w:val="36"/>
          <w:szCs w:val="36"/>
        </w:rPr>
      </w:pPr>
    </w:p>
    <w:p>
      <w:pPr>
        <w:spacing w:line="312" w:lineRule="auto"/>
        <w:rPr>
          <w:rFonts w:ascii="宋体" w:hAnsi="宋体"/>
          <w:b/>
          <w:sz w:val="24"/>
        </w:rPr>
      </w:pPr>
    </w:p>
    <w:p>
      <w:pPr>
        <w:pageBreakBefore/>
        <w:spacing w:line="312" w:lineRule="auto"/>
        <w:rPr>
          <w:rFonts w:ascii="宋体" w:hAnsi="宋体"/>
          <w:b/>
          <w:sz w:val="24"/>
        </w:rPr>
      </w:pPr>
      <w:r>
        <w:rPr>
          <w:rFonts w:hint="eastAsia" w:ascii="宋体" w:hAnsi="宋体"/>
          <w:b/>
          <w:sz w:val="24"/>
        </w:rPr>
        <w:t>附件2：</w:t>
      </w:r>
    </w:p>
    <w:p>
      <w:pPr>
        <w:spacing w:line="312" w:lineRule="auto"/>
        <w:ind w:firstLine="562" w:firstLineChars="200"/>
        <w:rPr>
          <w:b/>
          <w:sz w:val="28"/>
          <w:szCs w:val="28"/>
        </w:rPr>
      </w:pPr>
    </w:p>
    <w:p>
      <w:pPr>
        <w:spacing w:line="312" w:lineRule="auto"/>
        <w:jc w:val="center"/>
        <w:rPr>
          <w:rFonts w:ascii="宋体"/>
          <w:b/>
          <w:sz w:val="30"/>
          <w:szCs w:val="30"/>
        </w:rPr>
      </w:pPr>
      <w:r>
        <w:rPr>
          <w:rFonts w:hint="eastAsia" w:ascii="宋体"/>
          <w:b/>
          <w:sz w:val="30"/>
          <w:szCs w:val="30"/>
        </w:rPr>
        <w:t>服务承诺书</w:t>
      </w:r>
    </w:p>
    <w:p>
      <w:pPr>
        <w:spacing w:line="312" w:lineRule="auto"/>
        <w:ind w:firstLine="480" w:firstLineChars="200"/>
        <w:rPr>
          <w:rFonts w:ascii="宋体"/>
          <w:b/>
          <w:sz w:val="24"/>
        </w:rPr>
      </w:pPr>
      <w:r>
        <w:rPr>
          <w:rFonts w:hint="eastAsia" w:ascii="宋体"/>
          <w:sz w:val="24"/>
        </w:rPr>
        <w:t>致：</w:t>
      </w:r>
      <w:r>
        <w:rPr>
          <w:rFonts w:hint="eastAsia" w:ascii="宋体"/>
          <w:sz w:val="24"/>
          <w:u w:val="single"/>
        </w:rPr>
        <w:t xml:space="preserve">          （招标人）     ：</w:t>
      </w:r>
    </w:p>
    <w:p>
      <w:pPr>
        <w:spacing w:line="312" w:lineRule="auto"/>
        <w:ind w:firstLine="480" w:firstLineChars="200"/>
        <w:rPr>
          <w:rFonts w:ascii="宋体"/>
          <w:sz w:val="24"/>
        </w:rPr>
      </w:pPr>
      <w:r>
        <w:rPr>
          <w:rFonts w:hint="eastAsia" w:ascii="宋体"/>
          <w:sz w:val="24"/>
        </w:rPr>
        <w:t>本承诺声明：</w:t>
      </w:r>
      <w:r>
        <w:rPr>
          <w:rFonts w:hint="eastAsia" w:ascii="宋体"/>
          <w:sz w:val="24"/>
          <w:u w:val="single"/>
        </w:rPr>
        <w:t xml:space="preserve">                   </w:t>
      </w:r>
      <w:r>
        <w:rPr>
          <w:rFonts w:hint="eastAsia" w:ascii="宋体"/>
          <w:sz w:val="24"/>
        </w:rPr>
        <w:t>（投标人名称）对本招标文件的相关要求完全响应。若有幸中标将严格按照以上承诺进行服务。</w:t>
      </w:r>
    </w:p>
    <w:p>
      <w:pPr>
        <w:spacing w:line="312" w:lineRule="auto"/>
        <w:rPr>
          <w:rFonts w:ascii="宋体"/>
          <w:sz w:val="24"/>
        </w:rPr>
      </w:pPr>
    </w:p>
    <w:p>
      <w:pPr>
        <w:spacing w:line="312" w:lineRule="auto"/>
        <w:rPr>
          <w:rFonts w:ascii="宋体"/>
          <w:sz w:val="24"/>
        </w:rPr>
      </w:pPr>
      <w:r>
        <w:rPr>
          <w:rFonts w:hint="eastAsia" w:ascii="宋体"/>
          <w:sz w:val="24"/>
        </w:rPr>
        <w:t>特此声明</w:t>
      </w:r>
    </w:p>
    <w:p>
      <w:pPr>
        <w:spacing w:line="312" w:lineRule="auto"/>
        <w:rPr>
          <w:rFonts w:ascii="宋体"/>
          <w:sz w:val="24"/>
        </w:rPr>
      </w:pPr>
      <w:r>
        <w:rPr>
          <w:rFonts w:hint="eastAsia" w:ascii="宋体"/>
          <w:sz w:val="24"/>
        </w:rPr>
        <w:t> </w:t>
      </w:r>
    </w:p>
    <w:p>
      <w:pPr>
        <w:spacing w:line="312" w:lineRule="auto"/>
        <w:rPr>
          <w:rFonts w:ascii="宋体"/>
          <w:sz w:val="24"/>
        </w:rPr>
      </w:pPr>
      <w:r>
        <w:rPr>
          <w:rFonts w:hint="eastAsia" w:ascii="宋体"/>
          <w:sz w:val="24"/>
        </w:rPr>
        <w:t xml:space="preserve">                              法定代表人或委托代理人（签字或盖章）：</w:t>
      </w:r>
      <w:r>
        <w:rPr>
          <w:rFonts w:hint="eastAsia" w:ascii="宋体"/>
          <w:sz w:val="24"/>
          <w:u w:val="single"/>
        </w:rPr>
        <w:t xml:space="preserve">                         </w:t>
      </w:r>
    </w:p>
    <w:p>
      <w:pPr>
        <w:spacing w:line="312" w:lineRule="auto"/>
        <w:rPr>
          <w:rFonts w:ascii="宋体"/>
          <w:sz w:val="24"/>
          <w:u w:val="single"/>
        </w:rPr>
      </w:pPr>
      <w:r>
        <w:rPr>
          <w:rFonts w:hint="eastAsia" w:ascii="宋体"/>
          <w:sz w:val="24"/>
        </w:rPr>
        <w:t xml:space="preserve">                                     </w:t>
      </w:r>
    </w:p>
    <w:p>
      <w:pPr>
        <w:spacing w:line="312" w:lineRule="auto"/>
        <w:rPr>
          <w:rFonts w:ascii="宋体"/>
          <w:sz w:val="24"/>
          <w:u w:val="single"/>
        </w:rPr>
      </w:pPr>
      <w:r>
        <w:rPr>
          <w:rFonts w:hint="eastAsia" w:ascii="宋体"/>
          <w:sz w:val="24"/>
        </w:rPr>
        <w:t xml:space="preserve">                                    投标单位名称：</w:t>
      </w:r>
      <w:r>
        <w:rPr>
          <w:rFonts w:hint="eastAsia" w:ascii="宋体"/>
          <w:sz w:val="24"/>
          <w:u w:val="single"/>
        </w:rPr>
        <w:t xml:space="preserve">        （盖章）       </w:t>
      </w:r>
    </w:p>
    <w:p>
      <w:pPr>
        <w:spacing w:line="312" w:lineRule="auto"/>
        <w:rPr>
          <w:rFonts w:ascii="宋体"/>
          <w:sz w:val="24"/>
        </w:rPr>
      </w:pPr>
      <w:r>
        <w:rPr>
          <w:rFonts w:hint="eastAsia" w:ascii="宋体"/>
          <w:sz w:val="24"/>
          <w:u w:val="single"/>
        </w:rPr>
        <w:t xml:space="preserve">  </w:t>
      </w:r>
    </w:p>
    <w:p>
      <w:pPr>
        <w:spacing w:line="312" w:lineRule="auto"/>
        <w:ind w:firstLine="4680" w:firstLineChars="1950"/>
        <w:rPr>
          <w:b/>
          <w:sz w:val="24"/>
        </w:rPr>
      </w:pPr>
      <w:r>
        <w:rPr>
          <w:rFonts w:hint="eastAsia" w:ascii="宋体"/>
          <w:sz w:val="24"/>
        </w:rPr>
        <w:t>日    期：</w:t>
      </w:r>
      <w:r>
        <w:rPr>
          <w:rFonts w:hint="eastAsia" w:ascii="宋体"/>
          <w:sz w:val="24"/>
          <w:u w:val="single"/>
        </w:rPr>
        <w:t xml:space="preserve">                      </w:t>
      </w:r>
    </w:p>
    <w:p>
      <w:pPr>
        <w:spacing w:line="312" w:lineRule="auto"/>
        <w:rPr>
          <w:rFonts w:ascii="宋体" w:hAnsi="宋体"/>
          <w:b/>
          <w:sz w:val="28"/>
          <w:szCs w:val="28"/>
        </w:rPr>
      </w:pPr>
      <w:r>
        <w:rPr>
          <w:rFonts w:ascii="宋体" w:hAnsi="宋体"/>
          <w:b/>
          <w:sz w:val="28"/>
          <w:szCs w:val="28"/>
        </w:rPr>
        <w:br w:type="page"/>
      </w:r>
    </w:p>
    <w:p>
      <w:pPr>
        <w:pStyle w:val="6"/>
        <w:numPr>
          <w:ilvl w:val="0"/>
          <w:numId w:val="0"/>
        </w:numPr>
        <w:spacing w:line="312" w:lineRule="auto"/>
        <w:ind w:left="851"/>
        <w:rPr>
          <w:rFonts w:ascii="宋体"/>
        </w:rPr>
      </w:pPr>
      <w:bookmarkStart w:id="126" w:name="_Toc23859"/>
      <w:bookmarkStart w:id="127" w:name="_Toc13658"/>
      <w:bookmarkStart w:id="128" w:name="_Toc19191227"/>
      <w:r>
        <w:rPr>
          <w:rFonts w:hint="eastAsia" w:ascii="宋体" w:hAnsi="宋体"/>
          <w:b/>
          <w:sz w:val="28"/>
          <w:szCs w:val="28"/>
        </w:rPr>
        <w:t>三、商务标格式文件</w:t>
      </w:r>
      <w:bookmarkEnd w:id="126"/>
      <w:bookmarkEnd w:id="127"/>
      <w:bookmarkEnd w:id="128"/>
    </w:p>
    <w:p>
      <w:pPr>
        <w:jc w:val="right"/>
        <w:rPr>
          <w:rFonts w:ascii="宋体"/>
          <w:sz w:val="28"/>
          <w:szCs w:val="28"/>
          <w:bdr w:val="single" w:color="000000" w:sz="4" w:space="0"/>
        </w:rPr>
      </w:pPr>
      <w:r>
        <w:rPr>
          <w:rFonts w:hint="eastAsia" w:ascii="宋体"/>
          <w:sz w:val="28"/>
          <w:szCs w:val="28"/>
          <w:bdr w:val="single" w:color="000000" w:sz="4" w:space="0"/>
        </w:rPr>
        <w:t>注明正本或副本</w:t>
      </w:r>
    </w:p>
    <w:p>
      <w:pPr>
        <w:spacing w:line="312" w:lineRule="auto"/>
        <w:jc w:val="center"/>
        <w:rPr>
          <w:rFonts w:eastAsia="黑体"/>
          <w:sz w:val="20"/>
        </w:rPr>
      </w:pPr>
    </w:p>
    <w:p>
      <w:pPr>
        <w:pStyle w:val="2"/>
        <w:spacing w:line="312" w:lineRule="auto"/>
      </w:pPr>
    </w:p>
    <w:p>
      <w:pPr>
        <w:spacing w:line="312" w:lineRule="auto"/>
        <w:rPr>
          <w:rFonts w:ascii="宋体"/>
          <w:sz w:val="20"/>
        </w:rPr>
      </w:pPr>
    </w:p>
    <w:p>
      <w:pPr>
        <w:spacing w:line="312" w:lineRule="auto"/>
        <w:jc w:val="center"/>
        <w:rPr>
          <w:rFonts w:ascii="宋体"/>
          <w:b/>
          <w:sz w:val="44"/>
          <w:szCs w:val="44"/>
        </w:rPr>
      </w:pPr>
      <w:r>
        <w:rPr>
          <w:rFonts w:hint="eastAsia" w:ascii="宋体"/>
          <w:b/>
          <w:sz w:val="44"/>
          <w:szCs w:val="44"/>
        </w:rPr>
        <w:t>商务标</w:t>
      </w:r>
    </w:p>
    <w:p>
      <w:pPr>
        <w:spacing w:line="312" w:lineRule="auto"/>
        <w:jc w:val="center"/>
        <w:rPr>
          <w:rFonts w:ascii="宋体"/>
          <w:sz w:val="36"/>
          <w:szCs w:val="36"/>
        </w:rPr>
      </w:pPr>
      <w:r>
        <w:rPr>
          <w:rFonts w:hint="eastAsia" w:ascii="宋体"/>
          <w:sz w:val="44"/>
          <w:szCs w:val="44"/>
        </w:rPr>
        <w:t>（</w:t>
      </w:r>
      <w:r>
        <w:rPr>
          <w:rFonts w:hint="eastAsia" w:ascii="宋体"/>
          <w:sz w:val="36"/>
          <w:szCs w:val="36"/>
        </w:rPr>
        <w:t>投标文件三）</w:t>
      </w:r>
    </w:p>
    <w:p>
      <w:pPr>
        <w:spacing w:line="312" w:lineRule="auto"/>
        <w:jc w:val="center"/>
        <w:rPr>
          <w:rFonts w:ascii="宋体"/>
          <w:sz w:val="36"/>
          <w:szCs w:val="36"/>
        </w:rPr>
      </w:pPr>
    </w:p>
    <w:p>
      <w:pPr>
        <w:spacing w:line="312" w:lineRule="auto"/>
        <w:jc w:val="center"/>
        <w:rPr>
          <w:rFonts w:ascii="宋体"/>
          <w:sz w:val="32"/>
          <w:szCs w:val="32"/>
        </w:rPr>
      </w:pPr>
      <w:r>
        <w:rPr>
          <w:rFonts w:hint="eastAsia" w:ascii="宋体"/>
          <w:sz w:val="32"/>
          <w:szCs w:val="32"/>
          <w:u w:val="single"/>
        </w:rPr>
        <w:t xml:space="preserve">        </w:t>
      </w:r>
      <w:r>
        <w:rPr>
          <w:rFonts w:hint="eastAsia" w:ascii="宋体"/>
          <w:sz w:val="32"/>
          <w:szCs w:val="32"/>
        </w:rPr>
        <w:t>项目</w:t>
      </w:r>
      <w:r>
        <w:rPr>
          <w:rFonts w:hint="eastAsia" w:ascii="宋体"/>
          <w:sz w:val="32"/>
          <w:szCs w:val="32"/>
          <w:u w:val="single"/>
        </w:rPr>
        <w:t xml:space="preserve"> </w:t>
      </w: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rPr>
          <w:rFonts w:ascii="宋体"/>
          <w:sz w:val="28"/>
          <w:szCs w:val="28"/>
        </w:rPr>
      </w:pPr>
    </w:p>
    <w:p>
      <w:pPr>
        <w:spacing w:line="312" w:lineRule="auto"/>
        <w:jc w:val="center"/>
        <w:rPr>
          <w:rFonts w:ascii="宋体"/>
          <w:sz w:val="28"/>
          <w:szCs w:val="28"/>
          <w:u w:val="single"/>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（盖章）</w:t>
      </w:r>
    </w:p>
    <w:p>
      <w:pPr>
        <w:spacing w:line="312" w:lineRule="auto"/>
        <w:jc w:val="center"/>
        <w:rPr>
          <w:rFonts w:ascii="宋体"/>
          <w:sz w:val="28"/>
          <w:szCs w:val="28"/>
        </w:rPr>
      </w:pPr>
      <w:r>
        <w:rPr>
          <w:rFonts w:hint="eastAsia" w:ascii="宋体"/>
          <w:sz w:val="28"/>
          <w:szCs w:val="28"/>
        </w:rPr>
        <w:t>法定代表人或授权委托代理人：</w:t>
      </w:r>
      <w:r>
        <w:rPr>
          <w:rFonts w:hint="eastAsia" w:ascii="宋体"/>
          <w:sz w:val="28"/>
          <w:szCs w:val="28"/>
          <w:u w:val="single"/>
        </w:rPr>
        <w:t xml:space="preserve">           </w:t>
      </w:r>
      <w:r>
        <w:rPr>
          <w:rFonts w:hint="eastAsia" w:ascii="宋体"/>
          <w:sz w:val="28"/>
          <w:szCs w:val="28"/>
        </w:rPr>
        <w:t>（签字或盖章）</w:t>
      </w:r>
    </w:p>
    <w:p>
      <w:pPr>
        <w:spacing w:line="312" w:lineRule="auto"/>
        <w:jc w:val="center"/>
        <w:rPr>
          <w:rFonts w:ascii="宋体"/>
          <w:sz w:val="28"/>
          <w:szCs w:val="28"/>
        </w:rPr>
      </w:pP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312" w:lineRule="auto"/>
        <w:jc w:val="center"/>
        <w:rPr>
          <w:rFonts w:ascii="宋体"/>
          <w:b/>
          <w:sz w:val="36"/>
          <w:szCs w:val="36"/>
        </w:rPr>
      </w:pPr>
    </w:p>
    <w:p>
      <w:pPr>
        <w:spacing w:line="312" w:lineRule="auto"/>
        <w:ind w:firstLine="562" w:firstLineChars="200"/>
        <w:rPr>
          <w:b/>
          <w:sz w:val="28"/>
          <w:szCs w:val="28"/>
        </w:rPr>
      </w:pPr>
    </w:p>
    <w:p>
      <w:pPr>
        <w:spacing w:line="312" w:lineRule="auto"/>
        <w:rPr>
          <w:b/>
          <w:sz w:val="28"/>
          <w:szCs w:val="28"/>
        </w:rPr>
      </w:pPr>
      <w:r>
        <w:rPr>
          <w:rFonts w:hint="eastAsia"/>
          <w:b/>
          <w:sz w:val="28"/>
          <w:szCs w:val="28"/>
        </w:rPr>
        <w:t xml:space="preserve">  </w:t>
      </w:r>
    </w:p>
    <w:p>
      <w:pPr>
        <w:pStyle w:val="2"/>
      </w:pPr>
      <w:r>
        <w:br w:type="page"/>
      </w:r>
    </w:p>
    <w:p>
      <w:pPr>
        <w:spacing w:line="312" w:lineRule="auto"/>
        <w:rPr>
          <w:b/>
          <w:sz w:val="28"/>
          <w:szCs w:val="28"/>
        </w:rPr>
      </w:pPr>
    </w:p>
    <w:p>
      <w:pPr>
        <w:spacing w:line="312" w:lineRule="auto"/>
        <w:jc w:val="center"/>
        <w:rPr>
          <w:b/>
          <w:sz w:val="36"/>
          <w:szCs w:val="36"/>
        </w:rPr>
      </w:pPr>
      <w:r>
        <w:rPr>
          <w:rFonts w:hint="eastAsia"/>
          <w:b/>
          <w:sz w:val="36"/>
          <w:szCs w:val="36"/>
        </w:rPr>
        <w:t>目   录</w:t>
      </w:r>
    </w:p>
    <w:p>
      <w:pPr>
        <w:spacing w:line="312" w:lineRule="auto"/>
        <w:ind w:left="420"/>
        <w:rPr>
          <w:rFonts w:ascii="宋体"/>
          <w:szCs w:val="21"/>
        </w:rPr>
      </w:pPr>
      <w:r>
        <w:rPr>
          <w:rFonts w:hint="eastAsia" w:ascii="宋体"/>
          <w:szCs w:val="21"/>
        </w:rPr>
        <w:t>（1）开标一览表（格式见附件）；</w:t>
      </w:r>
    </w:p>
    <w:p>
      <w:pPr>
        <w:spacing w:line="312" w:lineRule="auto"/>
        <w:ind w:left="420"/>
        <w:rPr>
          <w:rFonts w:ascii="宋体"/>
          <w:szCs w:val="21"/>
        </w:rPr>
      </w:pPr>
      <w:r>
        <w:rPr>
          <w:rFonts w:hint="eastAsia" w:ascii="宋体"/>
          <w:szCs w:val="21"/>
        </w:rPr>
        <w:t>（2）投标函（格式见附件）；</w:t>
      </w:r>
    </w:p>
    <w:p>
      <w:pPr>
        <w:spacing w:line="312" w:lineRule="auto"/>
        <w:ind w:left="420"/>
        <w:rPr>
          <w:rFonts w:ascii="宋体"/>
          <w:szCs w:val="21"/>
        </w:rPr>
      </w:pPr>
      <w:r>
        <w:rPr>
          <w:rFonts w:hint="eastAsia" w:ascii="宋体"/>
          <w:szCs w:val="21"/>
        </w:rPr>
        <w:t>（3）</w:t>
      </w:r>
      <w:r>
        <w:rPr>
          <w:rFonts w:hint="eastAsia"/>
        </w:rPr>
        <w:t>评标办法商务评审所需相关证明材料和投标人认为需要提供的其他证明材料。</w:t>
      </w:r>
    </w:p>
    <w:p>
      <w:pPr>
        <w:spacing w:line="312" w:lineRule="auto"/>
      </w:pPr>
    </w:p>
    <w:p>
      <w:pPr>
        <w:spacing w:line="312" w:lineRule="auto"/>
        <w:jc w:val="center"/>
        <w:rPr>
          <w:rFonts w:ascii="宋体"/>
          <w:b/>
          <w:sz w:val="28"/>
          <w:szCs w:val="28"/>
        </w:rPr>
      </w:pPr>
    </w:p>
    <w:p>
      <w:pPr>
        <w:spacing w:line="312" w:lineRule="auto"/>
        <w:jc w:val="center"/>
        <w:rPr>
          <w:rFonts w:cs="Arial"/>
          <w:b/>
          <w:bCs/>
          <w:sz w:val="30"/>
          <w:szCs w:val="30"/>
        </w:rPr>
      </w:pPr>
    </w:p>
    <w:p>
      <w:pPr>
        <w:spacing w:line="312" w:lineRule="auto"/>
        <w:jc w:val="center"/>
        <w:rPr>
          <w:rFonts w:ascii="宋体"/>
          <w:b/>
          <w:sz w:val="28"/>
          <w:szCs w:val="28"/>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ind w:left="2940" w:leftChars="1400" w:firstLine="964" w:firstLineChars="300"/>
        <w:rPr>
          <w:rFonts w:ascii="宋体"/>
          <w:b/>
          <w:sz w:val="32"/>
          <w:szCs w:val="32"/>
        </w:rPr>
      </w:pPr>
    </w:p>
    <w:p>
      <w:pPr>
        <w:snapToGrid w:val="0"/>
        <w:spacing w:line="312" w:lineRule="auto"/>
        <w:rPr>
          <w:rFonts w:ascii="宋体"/>
          <w:b/>
          <w:sz w:val="30"/>
          <w:szCs w:val="30"/>
        </w:rPr>
      </w:pPr>
      <w:r>
        <w:rPr>
          <w:rFonts w:ascii="宋体"/>
          <w:b/>
          <w:sz w:val="32"/>
          <w:szCs w:val="32"/>
        </w:rPr>
        <w:br w:type="page"/>
      </w:r>
      <w:r>
        <w:rPr>
          <w:rFonts w:hint="eastAsia" w:ascii="宋体"/>
          <w:b/>
          <w:sz w:val="30"/>
          <w:szCs w:val="30"/>
        </w:rPr>
        <w:t>附件1</w:t>
      </w:r>
    </w:p>
    <w:p>
      <w:pPr>
        <w:spacing w:line="312" w:lineRule="auto"/>
        <w:ind w:firstLine="472" w:firstLineChars="147"/>
        <w:jc w:val="center"/>
        <w:rPr>
          <w:rFonts w:ascii="宋体"/>
          <w:b/>
          <w:sz w:val="32"/>
          <w:szCs w:val="32"/>
        </w:rPr>
      </w:pPr>
    </w:p>
    <w:p>
      <w:pPr>
        <w:spacing w:line="312" w:lineRule="auto"/>
        <w:ind w:firstLine="531" w:firstLineChars="147"/>
        <w:jc w:val="center"/>
        <w:rPr>
          <w:rFonts w:ascii="宋体"/>
          <w:b/>
          <w:sz w:val="36"/>
          <w:szCs w:val="36"/>
        </w:rPr>
      </w:pPr>
      <w:r>
        <w:rPr>
          <w:rFonts w:hint="eastAsia" w:ascii="宋体"/>
          <w:b/>
          <w:sz w:val="36"/>
          <w:szCs w:val="36"/>
        </w:rPr>
        <w:t>开标一览表</w:t>
      </w:r>
    </w:p>
    <w:p>
      <w:pPr>
        <w:snapToGrid w:val="0"/>
        <w:spacing w:line="312" w:lineRule="auto"/>
        <w:ind w:left="2940" w:leftChars="1400" w:firstLine="720" w:firstLineChars="300"/>
        <w:rPr>
          <w:rFonts w:ascii="宋体"/>
          <w:sz w:val="24"/>
        </w:rPr>
      </w:pPr>
    </w:p>
    <w:tbl>
      <w:tblPr>
        <w:tblStyle w:val="3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77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803" w:type="dxa"/>
            <w:tcBorders>
              <w:top w:val="single" w:color="auto" w:sz="12" w:space="0"/>
              <w:bottom w:val="single" w:color="auto" w:sz="12" w:space="0"/>
              <w:right w:val="single" w:color="auto" w:sz="12" w:space="0"/>
            </w:tcBorders>
            <w:vAlign w:val="center"/>
          </w:tcPr>
          <w:p>
            <w:pPr>
              <w:spacing w:line="312" w:lineRule="auto"/>
              <w:jc w:val="center"/>
              <w:rPr>
                <w:rFonts w:ascii="宋体"/>
                <w:sz w:val="24"/>
              </w:rPr>
            </w:pPr>
            <w:r>
              <w:rPr>
                <w:rFonts w:hint="eastAsia" w:ascii="宋体"/>
                <w:sz w:val="24"/>
              </w:rPr>
              <w:t>项目名称</w:t>
            </w:r>
          </w:p>
        </w:tc>
        <w:tc>
          <w:tcPr>
            <w:tcW w:w="7797" w:type="dxa"/>
            <w:tcBorders>
              <w:top w:val="single" w:color="auto" w:sz="12" w:space="0"/>
              <w:left w:val="single" w:color="auto" w:sz="12" w:space="0"/>
              <w:bottom w:val="single" w:color="auto" w:sz="12" w:space="0"/>
            </w:tcBorders>
            <w:vAlign w:val="center"/>
          </w:tcPr>
          <w:p>
            <w:pPr>
              <w:spacing w:line="312" w:lineRule="auto"/>
              <w:jc w:val="left"/>
              <w:rPr>
                <w:sz w:val="24"/>
              </w:rPr>
            </w:pPr>
            <w:r>
              <w:rPr>
                <w:rFonts w:hint="eastAsia"/>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1803" w:type="dxa"/>
            <w:tcBorders>
              <w:top w:val="single" w:color="auto" w:sz="12" w:space="0"/>
              <w:right w:val="single" w:color="auto" w:sz="12" w:space="0"/>
            </w:tcBorders>
            <w:vAlign w:val="center"/>
          </w:tcPr>
          <w:p>
            <w:pPr>
              <w:spacing w:line="312" w:lineRule="auto"/>
              <w:jc w:val="center"/>
              <w:rPr>
                <w:rFonts w:ascii="宋体"/>
                <w:sz w:val="24"/>
              </w:rPr>
            </w:pPr>
            <w:r>
              <w:rPr>
                <w:rFonts w:hint="eastAsia" w:ascii="宋体"/>
                <w:sz w:val="24"/>
              </w:rPr>
              <w:t>项目编号</w:t>
            </w:r>
          </w:p>
        </w:tc>
        <w:tc>
          <w:tcPr>
            <w:tcW w:w="7797" w:type="dxa"/>
            <w:tcBorders>
              <w:top w:val="single" w:color="auto" w:sz="12" w:space="0"/>
              <w:left w:val="single" w:color="auto" w:sz="12" w:space="0"/>
            </w:tcBorders>
            <w:vAlign w:val="center"/>
          </w:tcPr>
          <w:p>
            <w:pPr>
              <w:spacing w:line="312" w:lineRule="auto"/>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1803" w:type="dxa"/>
            <w:tcBorders>
              <w:right w:val="single" w:color="auto" w:sz="12" w:space="0"/>
            </w:tcBorders>
            <w:vAlign w:val="center"/>
          </w:tcPr>
          <w:p>
            <w:pPr>
              <w:spacing w:line="312" w:lineRule="auto"/>
              <w:ind w:firstLine="120" w:firstLineChars="50"/>
              <w:rPr>
                <w:rFonts w:ascii="宋体"/>
                <w:sz w:val="24"/>
              </w:rPr>
            </w:pPr>
            <w:r>
              <w:rPr>
                <w:rFonts w:hint="eastAsia" w:ascii="宋体"/>
                <w:sz w:val="24"/>
              </w:rPr>
              <w:t>投标人名称</w:t>
            </w:r>
          </w:p>
        </w:tc>
        <w:tc>
          <w:tcPr>
            <w:tcW w:w="7797" w:type="dxa"/>
            <w:tcBorders>
              <w:left w:val="single" w:color="auto" w:sz="12" w:space="0"/>
            </w:tcBorders>
          </w:tcPr>
          <w:p>
            <w:pPr>
              <w:pStyle w:val="19"/>
              <w:spacing w:line="312" w:lineRule="auto"/>
              <w:ind w:left="86" w:leftChars="41"/>
              <w:rPr>
                <w:rFonts w:ascii="宋体" w:eastAsia="宋体"/>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55" w:hRule="exact"/>
        </w:trPr>
        <w:tc>
          <w:tcPr>
            <w:tcW w:w="1803" w:type="dxa"/>
            <w:tcBorders>
              <w:right w:val="single" w:color="auto" w:sz="12" w:space="0"/>
            </w:tcBorders>
            <w:vAlign w:val="center"/>
          </w:tcPr>
          <w:p>
            <w:pPr>
              <w:spacing w:line="312" w:lineRule="auto"/>
              <w:jc w:val="center"/>
              <w:rPr>
                <w:rFonts w:ascii="宋体"/>
                <w:sz w:val="24"/>
              </w:rPr>
            </w:pPr>
            <w:r>
              <w:rPr>
                <w:rFonts w:hint="eastAsia" w:ascii="宋体" w:hAnsi="宋体" w:cs="宋体"/>
                <w:sz w:val="24"/>
              </w:rPr>
              <w:t>总投标价/服务期</w:t>
            </w:r>
          </w:p>
        </w:tc>
        <w:tc>
          <w:tcPr>
            <w:tcW w:w="7797" w:type="dxa"/>
            <w:tcBorders>
              <w:left w:val="single" w:color="auto" w:sz="12" w:space="0"/>
            </w:tcBorders>
            <w:vAlign w:val="center"/>
          </w:tcPr>
          <w:p>
            <w:pPr>
              <w:spacing w:line="360" w:lineRule="auto"/>
              <w:rPr>
                <w:rFonts w:ascii="宋体"/>
                <w:sz w:val="24"/>
              </w:rPr>
            </w:pPr>
            <w:r>
              <w:rPr>
                <w:rFonts w:hint="eastAsia" w:ascii="宋体" w:hAnsi="宋体" w:cs="宋体"/>
                <w:sz w:val="24"/>
              </w:rPr>
              <w:t>总投标价</w:t>
            </w:r>
            <w:r>
              <w:rPr>
                <w:rFonts w:hint="eastAsia" w:ascii="宋体"/>
                <w:sz w:val="24"/>
              </w:rPr>
              <w:t xml:space="preserve"> （大写）：</w:t>
            </w:r>
            <w:r>
              <w:rPr>
                <w:rFonts w:hint="eastAsia" w:ascii="宋体"/>
                <w:sz w:val="24"/>
                <w:u w:val="single"/>
              </w:rPr>
              <w:t xml:space="preserve">                   </w:t>
            </w:r>
            <w:r>
              <w:rPr>
                <w:rFonts w:hint="eastAsia" w:ascii="宋体"/>
                <w:sz w:val="24"/>
              </w:rPr>
              <w:t>元</w:t>
            </w:r>
          </w:p>
          <w:p>
            <w:pPr>
              <w:spacing w:line="360" w:lineRule="auto"/>
              <w:rPr>
                <w:rFonts w:ascii="宋体"/>
                <w:sz w:val="24"/>
              </w:rPr>
            </w:pPr>
            <w:r>
              <w:rPr>
                <w:rFonts w:hint="eastAsia" w:ascii="宋体"/>
                <w:sz w:val="24"/>
              </w:rPr>
              <w:t>(小写) ：</w:t>
            </w:r>
            <w:r>
              <w:rPr>
                <w:rFonts w:hint="eastAsia" w:ascii="宋体"/>
                <w:sz w:val="24"/>
                <w:u w:val="single"/>
              </w:rPr>
              <w:t xml:space="preserve">                   </w:t>
            </w:r>
            <w:r>
              <w:rPr>
                <w:rFonts w:hint="eastAsia" w:ascii="宋体"/>
                <w:sz w:val="24"/>
              </w:rPr>
              <w:t>元</w:t>
            </w:r>
          </w:p>
          <w:p>
            <w:pPr>
              <w:spacing w:line="312" w:lineRule="auto"/>
              <w:rPr>
                <w:rFonts w:ascii="宋体"/>
                <w:sz w:val="24"/>
              </w:rPr>
            </w:pPr>
            <w:r>
              <w:rPr>
                <w:rFonts w:hint="eastAsia" w:ascii="宋体"/>
                <w:sz w:val="24"/>
              </w:rPr>
              <w:t>服务期：</w:t>
            </w:r>
            <w:r>
              <w:rPr>
                <w:rFonts w:hint="eastAsia" w:ascii="宋体"/>
                <w:sz w:val="24"/>
                <w:u w:val="single"/>
              </w:rPr>
              <w:t xml:space="preserve">                   </w:t>
            </w:r>
            <w:r>
              <w:rPr>
                <w:rFonts w:hint="eastAsia" w:ascii="宋体"/>
                <w:sz w:val="24"/>
              </w:rPr>
              <w:t>。</w:t>
            </w:r>
          </w:p>
          <w:p>
            <w:pPr>
              <w:spacing w:line="312" w:lineRule="auto"/>
              <w:rPr>
                <w:rFonts w:ascii="宋体"/>
                <w:sz w:val="24"/>
              </w:rPr>
            </w:pPr>
          </w:p>
          <w:p>
            <w:pPr>
              <w:spacing w:line="312" w:lineRule="auto"/>
              <w:rPr>
                <w:sz w:val="24"/>
              </w:rPr>
            </w:pPr>
          </w:p>
        </w:tc>
      </w:tr>
    </w:tbl>
    <w:p>
      <w:pPr>
        <w:snapToGrid w:val="0"/>
        <w:spacing w:line="312" w:lineRule="auto"/>
        <w:ind w:left="2940" w:leftChars="1400" w:firstLine="723" w:firstLineChars="300"/>
        <w:rPr>
          <w:rFonts w:ascii="宋体"/>
          <w:b/>
          <w:sz w:val="24"/>
        </w:rPr>
      </w:pPr>
    </w:p>
    <w:p>
      <w:pPr>
        <w:snapToGrid w:val="0"/>
        <w:spacing w:line="312" w:lineRule="auto"/>
        <w:ind w:left="2940" w:leftChars="1400" w:firstLine="723" w:firstLineChars="300"/>
        <w:rPr>
          <w:rFonts w:ascii="宋体"/>
          <w:b/>
          <w:sz w:val="24"/>
        </w:rPr>
      </w:pPr>
    </w:p>
    <w:p>
      <w:pPr>
        <w:snapToGrid w:val="0"/>
        <w:spacing w:before="312" w:beforeLines="100" w:after="312" w:afterLines="100" w:line="312" w:lineRule="auto"/>
        <w:jc w:val="center"/>
        <w:rPr>
          <w:rFonts w:ascii="宋体"/>
          <w:sz w:val="24"/>
        </w:rPr>
      </w:pPr>
      <w:r>
        <w:rPr>
          <w:rFonts w:hint="eastAsia" w:ascii="宋体"/>
          <w:sz w:val="24"/>
        </w:rPr>
        <w:t xml:space="preserve">法定代表人或其委托代理人（签字或盖章）：         </w:t>
      </w:r>
    </w:p>
    <w:p>
      <w:pPr>
        <w:snapToGrid w:val="0"/>
        <w:spacing w:before="312" w:beforeLines="100" w:after="312" w:afterLines="100" w:line="312" w:lineRule="auto"/>
        <w:jc w:val="center"/>
        <w:rPr>
          <w:rFonts w:ascii="宋体"/>
          <w:sz w:val="24"/>
        </w:rPr>
      </w:pPr>
      <w:r>
        <w:rPr>
          <w:rFonts w:hint="eastAsia" w:ascii="宋体"/>
          <w:sz w:val="24"/>
        </w:rPr>
        <w:t xml:space="preserve">投标人（盖单位章）                                      </w:t>
      </w:r>
    </w:p>
    <w:p>
      <w:pPr>
        <w:snapToGrid w:val="0"/>
        <w:spacing w:before="312" w:beforeLines="100" w:after="312" w:afterLines="100" w:line="312" w:lineRule="auto"/>
        <w:jc w:val="center"/>
        <w:rPr>
          <w:rFonts w:cs="Arial"/>
          <w:b/>
          <w:bCs/>
          <w:sz w:val="30"/>
          <w:szCs w:val="30"/>
        </w:rPr>
        <w:sectPr>
          <w:pgSz w:w="11906" w:h="16838"/>
          <w:pgMar w:top="1440" w:right="1800" w:bottom="1440" w:left="1800" w:header="851" w:footer="992" w:gutter="0"/>
          <w:cols w:space="720" w:num="1"/>
          <w:docGrid w:type="lines" w:linePitch="312" w:charSpace="0"/>
        </w:sectPr>
      </w:pPr>
      <w:r>
        <w:rPr>
          <w:rFonts w:hint="eastAsia" w:ascii="宋体"/>
          <w:sz w:val="24"/>
        </w:rPr>
        <w:t xml:space="preserve">日  期：    年  月  日 </w:t>
      </w:r>
    </w:p>
    <w:p>
      <w:pPr>
        <w:spacing w:line="312" w:lineRule="auto"/>
        <w:ind w:firstLine="443" w:firstLineChars="147"/>
        <w:rPr>
          <w:rFonts w:ascii="宋体"/>
          <w:b/>
          <w:sz w:val="30"/>
          <w:szCs w:val="30"/>
        </w:rPr>
      </w:pPr>
      <w:r>
        <w:rPr>
          <w:rFonts w:hint="eastAsia" w:ascii="宋体"/>
          <w:b/>
          <w:sz w:val="30"/>
          <w:szCs w:val="30"/>
        </w:rPr>
        <w:t>附件2</w:t>
      </w:r>
    </w:p>
    <w:p>
      <w:pPr>
        <w:spacing w:line="312" w:lineRule="auto"/>
        <w:ind w:firstLine="531" w:firstLineChars="147"/>
        <w:jc w:val="center"/>
        <w:rPr>
          <w:rFonts w:ascii="宋体"/>
          <w:b/>
          <w:sz w:val="36"/>
          <w:szCs w:val="36"/>
        </w:rPr>
      </w:pPr>
      <w:r>
        <w:rPr>
          <w:rFonts w:hint="eastAsia" w:ascii="宋体"/>
          <w:b/>
          <w:sz w:val="36"/>
          <w:szCs w:val="36"/>
        </w:rPr>
        <w:t>投  标  函</w:t>
      </w:r>
    </w:p>
    <w:p>
      <w:pPr>
        <w:spacing w:line="312" w:lineRule="auto"/>
        <w:rPr>
          <w:rFonts w:ascii="宋体"/>
          <w:sz w:val="24"/>
        </w:rPr>
      </w:pPr>
    </w:p>
    <w:p>
      <w:pPr>
        <w:spacing w:line="312" w:lineRule="auto"/>
        <w:rPr>
          <w:rFonts w:ascii="宋体"/>
          <w:sz w:val="24"/>
        </w:rPr>
      </w:pPr>
      <w:r>
        <w:rPr>
          <w:rFonts w:hint="eastAsia" w:ascii="宋体"/>
          <w:sz w:val="24"/>
        </w:rPr>
        <w:t>致：</w:t>
      </w:r>
      <w:r>
        <w:rPr>
          <w:rFonts w:hint="eastAsia" w:ascii="宋体"/>
          <w:sz w:val="24"/>
          <w:u w:val="single"/>
        </w:rPr>
        <w:t xml:space="preserve">       (招标人) ：      </w:t>
      </w:r>
      <w:r>
        <w:rPr>
          <w:rFonts w:hint="eastAsia" w:ascii="宋体"/>
          <w:sz w:val="24"/>
        </w:rPr>
        <w:t xml:space="preserve"> </w:t>
      </w:r>
    </w:p>
    <w:p>
      <w:pPr>
        <w:spacing w:line="312" w:lineRule="auto"/>
        <w:ind w:firstLine="420" w:firstLineChars="200"/>
        <w:rPr>
          <w:szCs w:val="21"/>
        </w:rPr>
      </w:pPr>
      <w:r>
        <w:rPr>
          <w:rFonts w:hint="eastAsia"/>
          <w:szCs w:val="21"/>
          <w:u w:val="single"/>
        </w:rPr>
        <w:t xml:space="preserve">（投标人全称） </w:t>
      </w:r>
      <w:r>
        <w:rPr>
          <w:rFonts w:hint="eastAsia"/>
          <w:szCs w:val="21"/>
        </w:rPr>
        <w:t>授权</w:t>
      </w:r>
      <w:r>
        <w:rPr>
          <w:rFonts w:hint="eastAsia"/>
          <w:szCs w:val="21"/>
          <w:u w:val="single"/>
        </w:rPr>
        <w:t xml:space="preserve">（委托代理人姓名、职务） </w:t>
      </w:r>
      <w:r>
        <w:rPr>
          <w:rFonts w:hint="eastAsia"/>
          <w:szCs w:val="21"/>
        </w:rPr>
        <w:t>为本公司合法代理人，参加贵方组织的</w:t>
      </w:r>
      <w:r>
        <w:rPr>
          <w:rFonts w:hint="eastAsia"/>
          <w:szCs w:val="21"/>
          <w:u w:val="single"/>
        </w:rPr>
        <w:t xml:space="preserve">（招标项目名称） </w:t>
      </w:r>
      <w:r>
        <w:rPr>
          <w:rFonts w:hint="eastAsia"/>
          <w:szCs w:val="21"/>
        </w:rPr>
        <w:t>招投标活动，代表本公司处理招投标活动中的一切事宜，为对</w:t>
      </w:r>
      <w:r>
        <w:rPr>
          <w:rFonts w:hint="eastAsia"/>
          <w:szCs w:val="21"/>
          <w:u w:val="single"/>
        </w:rPr>
        <w:t>（项目名称）</w:t>
      </w:r>
      <w:r>
        <w:rPr>
          <w:rFonts w:hint="eastAsia"/>
          <w:szCs w:val="21"/>
        </w:rPr>
        <w:t xml:space="preserve">进行投标，在此： 投标人及签字代表宣布同意如下： </w:t>
      </w:r>
    </w:p>
    <w:p>
      <w:pPr>
        <w:spacing w:line="312" w:lineRule="auto"/>
        <w:rPr>
          <w:szCs w:val="21"/>
        </w:rPr>
      </w:pPr>
      <w:r>
        <w:rPr>
          <w:rFonts w:hint="eastAsia"/>
          <w:szCs w:val="21"/>
        </w:rPr>
        <w:t xml:space="preserve">  （1）我方愿意按照采购文件规定的各项要求，向招标人提供“  </w:t>
      </w:r>
      <w:r>
        <w:rPr>
          <w:rFonts w:hint="eastAsia"/>
          <w:szCs w:val="21"/>
          <w:u w:val="single"/>
        </w:rPr>
        <w:t xml:space="preserve">         （项目名称）</w:t>
      </w:r>
      <w:r>
        <w:rPr>
          <w:rFonts w:hint="eastAsia"/>
          <w:szCs w:val="21"/>
        </w:rPr>
        <w:t>”采购项目的货物与服务，总投标价为人民币</w:t>
      </w:r>
      <w:r>
        <w:rPr>
          <w:rFonts w:hint="eastAsia"/>
          <w:szCs w:val="21"/>
          <w:u w:val="single"/>
        </w:rPr>
        <w:t xml:space="preserve">（大写）              （小写）      </w:t>
      </w:r>
      <w:r>
        <w:rPr>
          <w:rFonts w:hint="eastAsia"/>
          <w:szCs w:val="21"/>
        </w:rPr>
        <w:t>。</w:t>
      </w:r>
    </w:p>
    <w:p>
      <w:pPr>
        <w:spacing w:line="312" w:lineRule="auto"/>
        <w:rPr>
          <w:szCs w:val="21"/>
        </w:rPr>
      </w:pPr>
      <w:r>
        <w:rPr>
          <w:rFonts w:hint="eastAsia"/>
          <w:szCs w:val="21"/>
        </w:rPr>
        <w:t xml:space="preserve">  （2）投标人拟派</w:t>
      </w:r>
      <w:r>
        <w:rPr>
          <w:rFonts w:hint="eastAsia"/>
          <w:szCs w:val="21"/>
          <w:u w:val="single"/>
        </w:rPr>
        <w:t xml:space="preserve"> （项目负责人姓名、身份证号码） </w:t>
      </w:r>
      <w:r>
        <w:rPr>
          <w:rFonts w:hint="eastAsia"/>
          <w:szCs w:val="21"/>
        </w:rPr>
        <w:t>为项目负责人，投标人将按招标文件的规定履行合同责任和义务。</w:t>
      </w:r>
    </w:p>
    <w:p>
      <w:pPr>
        <w:spacing w:line="312" w:lineRule="auto"/>
        <w:rPr>
          <w:szCs w:val="21"/>
        </w:rPr>
      </w:pPr>
      <w:r>
        <w:rPr>
          <w:rFonts w:hint="eastAsia"/>
          <w:szCs w:val="21"/>
        </w:rPr>
        <w:t xml:space="preserve">  （3）投标人已详细审查全部招标文件，包括修改文件（如有）以及全部参考资料和有关附件。我们完全理解并同意放弃对这方面有不明及误解的权利。</w:t>
      </w:r>
    </w:p>
    <w:p>
      <w:pPr>
        <w:spacing w:line="312" w:lineRule="auto"/>
        <w:rPr>
          <w:szCs w:val="21"/>
        </w:rPr>
      </w:pPr>
      <w:r>
        <w:rPr>
          <w:rFonts w:hint="eastAsia"/>
          <w:szCs w:val="21"/>
        </w:rPr>
        <w:t xml:space="preserve">  （4）投标有效期自开标日起有效期为个</w:t>
      </w:r>
      <w:r>
        <w:rPr>
          <w:rFonts w:hint="eastAsia"/>
          <w:szCs w:val="21"/>
          <w:u w:val="single"/>
        </w:rPr>
        <w:t>90</w:t>
      </w:r>
      <w:r>
        <w:rPr>
          <w:rFonts w:hint="eastAsia"/>
          <w:szCs w:val="21"/>
        </w:rPr>
        <w:t>个日历日。</w:t>
      </w:r>
    </w:p>
    <w:p>
      <w:pPr>
        <w:spacing w:line="312" w:lineRule="auto"/>
        <w:rPr>
          <w:szCs w:val="21"/>
        </w:rPr>
      </w:pPr>
      <w:r>
        <w:rPr>
          <w:rFonts w:hint="eastAsia"/>
          <w:szCs w:val="21"/>
        </w:rPr>
        <w:t xml:space="preserve">  （5）如果在规定的开标时间后，投标人在投标有效期内撤回投标，其投标保证金将被贵方没收。</w:t>
      </w:r>
    </w:p>
    <w:p>
      <w:pPr>
        <w:spacing w:line="312" w:lineRule="auto"/>
        <w:rPr>
          <w:szCs w:val="21"/>
        </w:rPr>
      </w:pPr>
      <w:r>
        <w:rPr>
          <w:rFonts w:hint="eastAsia"/>
          <w:szCs w:val="21"/>
        </w:rPr>
        <w:t xml:space="preserve">  （6）投标人同意提供按照招标人可能要求的与其投标有关的一切数据或资料，完全理解贵方不一定要接受最低价的投标或收到的任何投标。</w:t>
      </w:r>
    </w:p>
    <w:p>
      <w:pPr>
        <w:spacing w:line="312" w:lineRule="auto"/>
        <w:rPr>
          <w:szCs w:val="21"/>
        </w:rPr>
      </w:pPr>
      <w:r>
        <w:rPr>
          <w:rFonts w:hint="eastAsia"/>
          <w:szCs w:val="21"/>
        </w:rPr>
        <w:t xml:space="preserve">  （7）我方愿意为本项目提交的纸质投标书一式四份，其中正本一份、副本三份。</w:t>
      </w:r>
    </w:p>
    <w:p>
      <w:pPr>
        <w:spacing w:line="312" w:lineRule="auto"/>
        <w:ind w:firstLine="210" w:firstLineChars="100"/>
        <w:rPr>
          <w:szCs w:val="21"/>
        </w:rPr>
      </w:pPr>
      <w:r>
        <w:rPr>
          <w:rFonts w:hint="eastAsia"/>
          <w:szCs w:val="21"/>
        </w:rPr>
        <w:t>（8）我单</w:t>
      </w:r>
      <w:r>
        <w:rPr>
          <w:rFonts w:hint="eastAsia" w:ascii="宋体"/>
          <w:szCs w:val="21"/>
        </w:rPr>
        <w:t>位提供如下通讯地址：</w:t>
      </w:r>
      <w:r>
        <w:rPr>
          <w:rFonts w:hint="eastAsia" w:ascii="宋体"/>
          <w:szCs w:val="21"/>
          <w:u w:val="single"/>
        </w:rPr>
        <w:t xml:space="preserve">                </w:t>
      </w:r>
      <w:r>
        <w:rPr>
          <w:rFonts w:hint="eastAsia" w:ascii="宋体"/>
          <w:szCs w:val="21"/>
        </w:rPr>
        <w:t>电子邮箱（地址），确认本项目相关法律文书均通过提供的以上地址送达，相关文书只要发送至以上电子邮箱（地址）即视为送达，投标人愿意承担一切法律后果。</w:t>
      </w:r>
    </w:p>
    <w:p>
      <w:pPr>
        <w:spacing w:line="360" w:lineRule="auto"/>
        <w:ind w:firstLine="210" w:firstLineChars="100"/>
        <w:rPr>
          <w:szCs w:val="21"/>
        </w:rPr>
      </w:pPr>
      <w:r>
        <w:rPr>
          <w:rFonts w:hint="eastAsia"/>
          <w:szCs w:val="21"/>
        </w:rPr>
        <w:t xml:space="preserve">（9）与本投标有关的一切正式往来通讯请寄： </w:t>
      </w:r>
    </w:p>
    <w:p>
      <w:pPr>
        <w:spacing w:line="360" w:lineRule="auto"/>
        <w:ind w:firstLine="630" w:firstLineChars="300"/>
        <w:rPr>
          <w:szCs w:val="21"/>
          <w:u w:val="single"/>
        </w:rPr>
      </w:pPr>
      <w:r>
        <w:rPr>
          <w:rFonts w:hint="eastAsia"/>
          <w:szCs w:val="21"/>
        </w:rPr>
        <w:t>地址：                              邮编：</w:t>
      </w:r>
      <w:r>
        <w:rPr>
          <w:rFonts w:hint="eastAsia"/>
          <w:szCs w:val="21"/>
          <w:u w:val="single"/>
        </w:rPr>
        <w:t xml:space="preserve">                                         </w:t>
      </w:r>
    </w:p>
    <w:p>
      <w:pPr>
        <w:spacing w:line="360" w:lineRule="auto"/>
        <w:ind w:firstLine="630" w:firstLineChars="300"/>
        <w:rPr>
          <w:szCs w:val="21"/>
        </w:rPr>
      </w:pPr>
      <w:r>
        <w:rPr>
          <w:rFonts w:hint="eastAsia"/>
          <w:szCs w:val="21"/>
        </w:rPr>
        <w:t>电话：                              传真：</w:t>
      </w:r>
      <w:r>
        <w:rPr>
          <w:rFonts w:hint="eastAsia"/>
          <w:szCs w:val="21"/>
          <w:u w:val="single"/>
        </w:rPr>
        <w:t xml:space="preserve">                          </w:t>
      </w:r>
      <w:r>
        <w:rPr>
          <w:rFonts w:hint="eastAsia"/>
          <w:szCs w:val="21"/>
        </w:rPr>
        <w:t xml:space="preserve"> </w:t>
      </w:r>
    </w:p>
    <w:p>
      <w:pPr>
        <w:spacing w:line="480" w:lineRule="auto"/>
        <w:ind w:firstLine="630" w:firstLineChars="300"/>
        <w:rPr>
          <w:szCs w:val="21"/>
        </w:rPr>
      </w:pPr>
      <w:r>
        <w:rPr>
          <w:rFonts w:hint="eastAsia"/>
          <w:szCs w:val="21"/>
        </w:rPr>
        <w:t>投标单位名称（盖单位章）：</w:t>
      </w:r>
    </w:p>
    <w:p>
      <w:pPr>
        <w:spacing w:line="480" w:lineRule="auto"/>
        <w:ind w:firstLine="630" w:firstLineChars="300"/>
        <w:rPr>
          <w:szCs w:val="21"/>
        </w:rPr>
      </w:pPr>
      <w:r>
        <w:rPr>
          <w:rFonts w:hint="eastAsia"/>
          <w:szCs w:val="21"/>
        </w:rPr>
        <w:t xml:space="preserve">投标单位法定代表人或其委托代理人（签字或盖章）： </w:t>
      </w:r>
      <w:r>
        <w:rPr>
          <w:rFonts w:hint="eastAsia"/>
          <w:szCs w:val="21"/>
          <w:u w:val="single"/>
        </w:rPr>
        <w:t xml:space="preserve">                                       </w:t>
      </w:r>
      <w:r>
        <w:rPr>
          <w:rFonts w:hint="eastAsia"/>
          <w:szCs w:val="21"/>
        </w:rPr>
        <w:t xml:space="preserve"> </w:t>
      </w:r>
    </w:p>
    <w:p>
      <w:pPr>
        <w:adjustRightInd w:val="0"/>
        <w:snapToGrid w:val="0"/>
        <w:spacing w:line="312" w:lineRule="auto"/>
        <w:rPr>
          <w:szCs w:val="21"/>
        </w:rPr>
      </w:pPr>
    </w:p>
    <w:p>
      <w:pPr>
        <w:spacing w:line="312" w:lineRule="auto"/>
        <w:jc w:val="center"/>
        <w:outlineLvl w:val="0"/>
        <w:rPr>
          <w:rFonts w:ascii="宋体"/>
          <w:b/>
          <w:sz w:val="32"/>
          <w:szCs w:val="32"/>
        </w:rPr>
      </w:pPr>
      <w:bookmarkStart w:id="129" w:name="_Toc16708"/>
      <w:bookmarkStart w:id="130" w:name="_Toc16179"/>
      <w:r>
        <w:rPr>
          <w:rFonts w:hint="eastAsia"/>
          <w:szCs w:val="21"/>
        </w:rP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 xml:space="preserve">日  </w:t>
      </w:r>
      <w:r>
        <w:rPr>
          <w:u w:val="single"/>
        </w:rPr>
        <w:br w:type="page"/>
      </w:r>
      <w:bookmarkEnd w:id="119"/>
      <w:bookmarkStart w:id="131" w:name="_Toc449028957"/>
      <w:r>
        <w:rPr>
          <w:rFonts w:hint="eastAsia" w:ascii="宋体"/>
          <w:b/>
          <w:sz w:val="32"/>
          <w:szCs w:val="32"/>
        </w:rPr>
        <w:t>第六章   招标单位、招标代理机构对本招标文件的确认</w:t>
      </w:r>
      <w:bookmarkEnd w:id="129"/>
      <w:bookmarkEnd w:id="130"/>
      <w:bookmarkEnd w:id="131"/>
    </w:p>
    <w:p>
      <w:pPr>
        <w:spacing w:line="312" w:lineRule="auto"/>
        <w:rPr>
          <w:rFonts w:ascii="宋体"/>
          <w:sz w:val="24"/>
          <w:u w:val="single"/>
        </w:rPr>
      </w:pPr>
    </w:p>
    <w:bookmarkEnd w:id="0"/>
    <w:tbl>
      <w:tblPr>
        <w:tblStyle w:val="31"/>
        <w:tblW w:w="0" w:type="auto"/>
        <w:jc w:val="center"/>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rHeight w:val="6219"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sz w:val="28"/>
                <w:szCs w:val="28"/>
              </w:rPr>
            </w:pPr>
          </w:p>
          <w:p>
            <w:pPr>
              <w:spacing w:after="156" w:afterLines="50" w:line="312" w:lineRule="auto"/>
              <w:rPr>
                <w:rFonts w:ascii="宋体" w:cs="宋体"/>
                <w:sz w:val="28"/>
                <w:szCs w:val="28"/>
              </w:rPr>
            </w:pPr>
            <w:r>
              <w:rPr>
                <w:rFonts w:hint="eastAsia" w:ascii="宋体" w:cs="宋体"/>
                <w:sz w:val="28"/>
                <w:szCs w:val="28"/>
              </w:rPr>
              <w:t xml:space="preserve">   我单位对</w:t>
            </w:r>
            <w:r>
              <w:rPr>
                <w:rFonts w:hint="eastAsia" w:ascii="宋体" w:cs="宋体"/>
                <w:sz w:val="28"/>
                <w:szCs w:val="28"/>
                <w:u w:val="single"/>
                <w:lang w:eastAsia="zh-CN"/>
              </w:rPr>
              <w:t>滁州市同创建设投资有限责任公司2020-2022年度财务年报审计服务项目</w:t>
            </w:r>
            <w:r>
              <w:rPr>
                <w:rFonts w:hint="eastAsia" w:ascii="宋体" w:cs="宋体"/>
                <w:sz w:val="28"/>
                <w:szCs w:val="28"/>
              </w:rPr>
              <w:t>的招标文件进行确认。</w:t>
            </w:r>
          </w:p>
          <w:p>
            <w:pPr>
              <w:spacing w:line="312" w:lineRule="auto"/>
              <w:ind w:firstLine="560" w:firstLineChars="200"/>
              <w:rPr>
                <w:rFonts w:ascii="宋体" w:cs="宋体"/>
                <w:sz w:val="28"/>
                <w:szCs w:val="28"/>
              </w:rPr>
            </w:pPr>
            <w:r>
              <w:rPr>
                <w:rFonts w:hint="eastAsia" w:ascii="宋体" w:cs="宋体"/>
                <w:sz w:val="28"/>
                <w:szCs w:val="28"/>
              </w:rPr>
              <w:t xml:space="preserve">招标单位：滁州市同创建设投资有限责任公司 </w:t>
            </w:r>
          </w:p>
          <w:p>
            <w:pPr>
              <w:spacing w:line="312" w:lineRule="auto"/>
              <w:ind w:firstLine="560" w:firstLineChars="200"/>
              <w:rPr>
                <w:rFonts w:ascii="宋体" w:cs="宋体"/>
                <w:sz w:val="28"/>
                <w:szCs w:val="28"/>
              </w:rPr>
            </w:pPr>
            <w:r>
              <w:rPr>
                <w:rFonts w:hint="eastAsia" w:ascii="宋体" w:cs="宋体"/>
                <w:sz w:val="28"/>
                <w:szCs w:val="28"/>
              </w:rPr>
              <w:t>委托代理人：吴兴加</w:t>
            </w:r>
          </w:p>
          <w:p>
            <w:pPr>
              <w:spacing w:line="312" w:lineRule="auto"/>
              <w:ind w:firstLine="560" w:firstLineChars="200"/>
              <w:rPr>
                <w:rFonts w:ascii="宋体" w:cs="宋体"/>
                <w:sz w:val="28"/>
                <w:szCs w:val="28"/>
              </w:rPr>
            </w:pPr>
            <w:r>
              <w:rPr>
                <w:rFonts w:hint="eastAsia" w:ascii="宋体" w:cs="宋体"/>
                <w:sz w:val="28"/>
                <w:szCs w:val="28"/>
              </w:rPr>
              <w:t>联系电话：15155073575</w:t>
            </w:r>
          </w:p>
          <w:p>
            <w:pPr>
              <w:spacing w:line="312" w:lineRule="auto"/>
              <w:ind w:firstLine="5600" w:firstLineChars="2000"/>
              <w:rPr>
                <w:rFonts w:ascii="宋体" w:cs="宋体"/>
                <w:sz w:val="28"/>
                <w:szCs w:val="28"/>
              </w:rPr>
            </w:pPr>
          </w:p>
          <w:p>
            <w:pPr>
              <w:spacing w:line="312" w:lineRule="auto"/>
              <w:ind w:firstLine="5600" w:firstLineChars="2000"/>
              <w:rPr>
                <w:rFonts w:ascii="宋体" w:cs="宋体"/>
                <w:sz w:val="28"/>
                <w:szCs w:val="28"/>
              </w:rPr>
            </w:pPr>
            <w:r>
              <w:rPr>
                <w:rFonts w:hint="eastAsia" w:ascii="宋体" w:cs="宋体"/>
                <w:sz w:val="28"/>
                <w:szCs w:val="28"/>
              </w:rPr>
              <w:t>（单位盖章）</w:t>
            </w:r>
          </w:p>
          <w:p>
            <w:pPr>
              <w:spacing w:line="312" w:lineRule="auto"/>
              <w:ind w:firstLine="6300" w:firstLineChars="2250"/>
              <w:rPr>
                <w:rFonts w:ascii="宋体" w:cs="宋体"/>
                <w:sz w:val="28"/>
                <w:szCs w:val="28"/>
              </w:rPr>
            </w:pPr>
          </w:p>
          <w:p>
            <w:pPr>
              <w:spacing w:line="312" w:lineRule="auto"/>
              <w:ind w:firstLine="5880" w:firstLineChars="2100"/>
              <w:rPr>
                <w:rFonts w:ascii="宋体" w:cs="宋体"/>
                <w:sz w:val="28"/>
                <w:szCs w:val="28"/>
              </w:rPr>
            </w:pPr>
            <w:r>
              <w:rPr>
                <w:rFonts w:hint="eastAsia" w:ascii="宋体" w:cs="宋体"/>
                <w:sz w:val="28"/>
                <w:szCs w:val="28"/>
              </w:rPr>
              <w:t>2021</w:t>
            </w:r>
            <w:r>
              <w:rPr>
                <w:rFonts w:hint="eastAsia" w:ascii="宋体" w:hAnsi="宋体" w:cs="宋体"/>
                <w:sz w:val="28"/>
                <w:szCs w:val="28"/>
              </w:rPr>
              <w:t>年4月19日</w:t>
            </w:r>
          </w:p>
        </w:tc>
      </w:tr>
      <w:tr>
        <w:tblPrEx>
          <w:tblCellMar>
            <w:top w:w="0" w:type="dxa"/>
            <w:left w:w="108" w:type="dxa"/>
            <w:bottom w:w="0" w:type="dxa"/>
            <w:right w:w="108" w:type="dxa"/>
          </w:tblCellMar>
        </w:tblPrEx>
        <w:trPr>
          <w:trHeight w:val="4795"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sz w:val="28"/>
                <w:szCs w:val="28"/>
              </w:rPr>
            </w:pPr>
            <w:r>
              <w:rPr>
                <w:rFonts w:hint="eastAsia" w:ascii="宋体" w:cs="宋体"/>
                <w:sz w:val="28"/>
                <w:szCs w:val="28"/>
              </w:rPr>
              <w:t xml:space="preserve">招标代理机构：滁州市城投工程咨询管理有限公司 </w:t>
            </w:r>
          </w:p>
          <w:p>
            <w:pPr>
              <w:spacing w:line="312" w:lineRule="auto"/>
              <w:ind w:firstLine="560" w:firstLineChars="200"/>
              <w:rPr>
                <w:rFonts w:ascii="宋体" w:cs="宋体"/>
                <w:sz w:val="28"/>
                <w:szCs w:val="28"/>
              </w:rPr>
            </w:pPr>
            <w:r>
              <w:rPr>
                <w:rFonts w:hint="eastAsia" w:ascii="宋体" w:cs="宋体"/>
                <w:sz w:val="28"/>
                <w:szCs w:val="28"/>
              </w:rPr>
              <w:t>经办人： 张夏骄</w:t>
            </w:r>
          </w:p>
          <w:p>
            <w:pPr>
              <w:spacing w:line="312" w:lineRule="auto"/>
              <w:ind w:firstLine="560" w:firstLineChars="200"/>
              <w:rPr>
                <w:rFonts w:ascii="宋体" w:cs="宋体"/>
                <w:sz w:val="28"/>
                <w:szCs w:val="28"/>
              </w:rPr>
            </w:pPr>
            <w:r>
              <w:rPr>
                <w:rFonts w:hint="eastAsia" w:ascii="宋体" w:cs="宋体"/>
                <w:sz w:val="28"/>
                <w:szCs w:val="28"/>
              </w:rPr>
              <w:t xml:space="preserve">电  话：0550-3519512、18155023588 </w:t>
            </w:r>
          </w:p>
          <w:p>
            <w:pPr>
              <w:spacing w:line="312" w:lineRule="auto"/>
              <w:ind w:firstLine="560" w:firstLineChars="200"/>
              <w:rPr>
                <w:rFonts w:ascii="宋体" w:cs="宋体"/>
                <w:sz w:val="28"/>
                <w:szCs w:val="28"/>
              </w:rPr>
            </w:pPr>
            <w:r>
              <w:rPr>
                <w:rFonts w:hint="eastAsia" w:ascii="宋体" w:cs="宋体"/>
                <w:sz w:val="28"/>
                <w:szCs w:val="28"/>
              </w:rPr>
              <w:t xml:space="preserve"> </w:t>
            </w:r>
          </w:p>
          <w:p>
            <w:pPr>
              <w:spacing w:line="312" w:lineRule="auto"/>
              <w:ind w:firstLine="5460" w:firstLineChars="1950"/>
              <w:rPr>
                <w:rFonts w:ascii="宋体" w:cs="宋体"/>
                <w:sz w:val="28"/>
                <w:szCs w:val="28"/>
              </w:rPr>
            </w:pPr>
            <w:r>
              <w:rPr>
                <w:rFonts w:hint="eastAsia" w:ascii="宋体" w:cs="宋体"/>
                <w:sz w:val="28"/>
                <w:szCs w:val="28"/>
              </w:rPr>
              <w:t>（单位盖章）</w:t>
            </w:r>
          </w:p>
          <w:p>
            <w:pPr>
              <w:spacing w:line="312" w:lineRule="auto"/>
              <w:ind w:firstLine="6300" w:firstLineChars="2250"/>
              <w:rPr>
                <w:rFonts w:ascii="宋体" w:cs="宋体"/>
                <w:sz w:val="28"/>
                <w:szCs w:val="28"/>
              </w:rPr>
            </w:pPr>
          </w:p>
          <w:p>
            <w:pPr>
              <w:spacing w:line="312" w:lineRule="auto"/>
              <w:ind w:firstLine="5600" w:firstLineChars="2000"/>
              <w:rPr>
                <w:rFonts w:ascii="宋体" w:cs="宋体"/>
                <w:sz w:val="28"/>
                <w:szCs w:val="28"/>
              </w:rPr>
            </w:pPr>
            <w:r>
              <w:rPr>
                <w:rFonts w:hint="eastAsia" w:ascii="宋体" w:cs="宋体"/>
                <w:sz w:val="28"/>
                <w:szCs w:val="28"/>
              </w:rPr>
              <w:t>2021年4月19日</w:t>
            </w:r>
          </w:p>
        </w:tc>
      </w:tr>
    </w:tbl>
    <w:p>
      <w:pPr>
        <w:spacing w:line="312" w:lineRule="auto"/>
        <w:rPr>
          <w:b/>
          <w:sz w:val="32"/>
          <w:szCs w:val="32"/>
        </w:rPr>
      </w:pPr>
    </w:p>
    <w:p>
      <w:pPr>
        <w:spacing w:line="312" w:lineRule="auto"/>
        <w:rPr>
          <w:b/>
          <w:sz w:val="32"/>
          <w:szCs w:val="32"/>
        </w:rPr>
      </w:pPr>
    </w:p>
    <w:p>
      <w:pPr>
        <w:pStyle w:val="2"/>
        <w:spacing w:line="312" w:lineRule="auto"/>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Monospace">
    <w:altName w:val="Courier New"/>
    <w:panose1 w:val="00000000000000000000"/>
    <w:charset w:val="00"/>
    <w:family w:val="auto"/>
    <w:pitch w:val="default"/>
    <w:sig w:usb0="00000000" w:usb1="00000000" w:usb2="00000000" w:usb3="00000000" w:csb0="00040001" w:csb1="00000000"/>
  </w:font>
  <w:font w:name="DokChampa">
    <w:altName w:val="Microsoft Sans Serif"/>
    <w:panose1 w:val="020B0604020202020204"/>
    <w:charset w:val="00"/>
    <w:family w:val="swiss"/>
    <w:pitch w:val="default"/>
    <w:sig w:usb0="00000000"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幼圆">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tabs>
        <w:tab w:val="clear" w:pos="4153"/>
        <w:tab w:val="clear" w:pos="8306"/>
      </w:tabs>
      <w:rPr>
        <w:rStyle w:val="35"/>
      </w:rPr>
    </w:pPr>
    <w:r>
      <w:fldChar w:fldCharType="begin"/>
    </w:r>
    <w:r>
      <w:rPr>
        <w:rStyle w:val="35"/>
      </w:rPr>
      <w:instrText xml:space="preserve">PAGE  </w:instrText>
    </w:r>
    <w:r>
      <w:fldChar w:fldCharType="separate"/>
    </w:r>
    <w:r>
      <w:t xml:space="preserve"> </w:t>
    </w:r>
    <w:r>
      <w:fldChar w:fldCharType="end"/>
    </w:r>
  </w:p>
  <w:p>
    <w:pPr>
      <w:pStyle w:val="22"/>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tabs>
        <w:tab w:val="clear" w:pos="4153"/>
        <w:tab w:val="clear" w:pos="8306"/>
      </w:tabs>
      <w:rPr>
        <w:rStyle w:val="35"/>
      </w:rPr>
    </w:pPr>
  </w:p>
  <w:p>
    <w:pPr>
      <w:pStyle w:val="22"/>
      <w:tabs>
        <w:tab w:val="clear" w:pos="4153"/>
        <w:tab w:val="clear" w:pos="8306"/>
      </w:tabs>
      <w:rPr>
        <w:szCs w:val="21"/>
      </w:rPr>
    </w:pPr>
  </w:p>
  <w:p>
    <w:pPr>
      <w:pStyle w:val="22"/>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23</w:t>
                    </w:r>
                    <w: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9"/>
    <w:multiLevelType w:val="multilevel"/>
    <w:tmpl w:val="00000019"/>
    <w:lvl w:ilvl="0" w:tentative="0">
      <w:start w:val="1"/>
      <w:numFmt w:val="chineseCountingThousand"/>
      <w:pStyle w:val="91"/>
      <w:suff w:val="space"/>
      <w:lvlText w:val="%1、"/>
      <w:lvlJc w:val="left"/>
      <w:pPr>
        <w:ind w:left="425" w:hanging="425"/>
      </w:pPr>
      <w:rPr>
        <w:rFonts w:hint="eastAsia"/>
      </w:rPr>
    </w:lvl>
    <w:lvl w:ilvl="1" w:tentative="0">
      <w:start w:val="1"/>
      <w:numFmt w:val="decimal"/>
      <w:lvlRestart w:val="0"/>
      <w:suff w:val="space"/>
      <w:lvlText w:val="%2、"/>
      <w:lvlJc w:val="left"/>
      <w:pPr>
        <w:ind w:left="454" w:hanging="454"/>
      </w:pPr>
      <w:rPr>
        <w:rFonts w:hint="eastAsia"/>
      </w:rPr>
    </w:lvl>
    <w:lvl w:ilvl="2" w:tentative="0">
      <w:start w:val="1"/>
      <w:numFmt w:val="decimal"/>
      <w:lvlRestart w:val="0"/>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
    <w:nsid w:val="18995355"/>
    <w:multiLevelType w:val="multilevel"/>
    <w:tmpl w:val="18995355"/>
    <w:lvl w:ilvl="0" w:tentative="0">
      <w:start w:val="1"/>
      <w:numFmt w:val="decimal"/>
      <w:pStyle w:val="78"/>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323379E"/>
    <w:multiLevelType w:val="multilevel"/>
    <w:tmpl w:val="2323379E"/>
    <w:lvl w:ilvl="0" w:tentative="0">
      <w:start w:val="1"/>
      <w:numFmt w:val="chineseCountingThousand"/>
      <w:pStyle w:val="29"/>
      <w:lvlText w:val="%1、"/>
      <w:lvlJc w:val="left"/>
      <w:pPr>
        <w:ind w:left="42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857717"/>
    <w:multiLevelType w:val="multilevel"/>
    <w:tmpl w:val="26857717"/>
    <w:lvl w:ilvl="0" w:tentative="0">
      <w:start w:val="1"/>
      <w:numFmt w:val="chineseCountingThousand"/>
      <w:pStyle w:val="88"/>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4">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6"/>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5">
    <w:nsid w:val="59BF8461"/>
    <w:multiLevelType w:val="singleLevel"/>
    <w:tmpl w:val="59BF8461"/>
    <w:lvl w:ilvl="0" w:tentative="0">
      <w:start w:val="3"/>
      <w:numFmt w:val="chineseCounting"/>
      <w:suff w:val="space"/>
      <w:lvlText w:val="第%1章"/>
      <w:lvlJc w:val="left"/>
    </w:lvl>
  </w:abstractNum>
  <w:abstractNum w:abstractNumId="6">
    <w:nsid w:val="6CB11212"/>
    <w:multiLevelType w:val="multilevel"/>
    <w:tmpl w:val="6CB11212"/>
    <w:lvl w:ilvl="0" w:tentative="0">
      <w:start w:val="1"/>
      <w:numFmt w:val="decimal"/>
      <w:pStyle w:val="13"/>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7">
    <w:nsid w:val="6F1D7D26"/>
    <w:multiLevelType w:val="multilevel"/>
    <w:tmpl w:val="6F1D7D26"/>
    <w:lvl w:ilvl="0" w:tentative="0">
      <w:start w:val="1"/>
      <w:numFmt w:val="decimal"/>
      <w:pStyle w:val="25"/>
      <w:lvlText w:val="%1."/>
      <w:lvlJc w:val="left"/>
      <w:pPr>
        <w:ind w:left="42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4D08E03"/>
    <w:multiLevelType w:val="singleLevel"/>
    <w:tmpl w:val="74D08E03"/>
    <w:lvl w:ilvl="0" w:tentative="0">
      <w:start w:val="1"/>
      <w:numFmt w:val="chineseCounting"/>
      <w:suff w:val="nothing"/>
      <w:lvlText w:val="（%1）"/>
      <w:lvlJc w:val="left"/>
      <w:rPr>
        <w:rFonts w:hint="eastAsia"/>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E0"/>
    <w:rsid w:val="00000AE5"/>
    <w:rsid w:val="00000FD7"/>
    <w:rsid w:val="000018C2"/>
    <w:rsid w:val="00001EDD"/>
    <w:rsid w:val="00002345"/>
    <w:rsid w:val="00002FE3"/>
    <w:rsid w:val="00003231"/>
    <w:rsid w:val="00003436"/>
    <w:rsid w:val="0000387A"/>
    <w:rsid w:val="00003B78"/>
    <w:rsid w:val="00003E3C"/>
    <w:rsid w:val="00003F2A"/>
    <w:rsid w:val="00003FDF"/>
    <w:rsid w:val="000041A9"/>
    <w:rsid w:val="0000436D"/>
    <w:rsid w:val="00005025"/>
    <w:rsid w:val="0000597D"/>
    <w:rsid w:val="00005C91"/>
    <w:rsid w:val="0000620B"/>
    <w:rsid w:val="0000682D"/>
    <w:rsid w:val="00006C8E"/>
    <w:rsid w:val="00006E5F"/>
    <w:rsid w:val="0000720C"/>
    <w:rsid w:val="00007605"/>
    <w:rsid w:val="00007856"/>
    <w:rsid w:val="0000788B"/>
    <w:rsid w:val="00007892"/>
    <w:rsid w:val="000106D5"/>
    <w:rsid w:val="00010AB9"/>
    <w:rsid w:val="000111C3"/>
    <w:rsid w:val="00011FD2"/>
    <w:rsid w:val="0001207D"/>
    <w:rsid w:val="00012CBB"/>
    <w:rsid w:val="00012CFA"/>
    <w:rsid w:val="00013187"/>
    <w:rsid w:val="000131BA"/>
    <w:rsid w:val="00013337"/>
    <w:rsid w:val="00013C13"/>
    <w:rsid w:val="000147B5"/>
    <w:rsid w:val="00014A77"/>
    <w:rsid w:val="00014B17"/>
    <w:rsid w:val="00015544"/>
    <w:rsid w:val="00015688"/>
    <w:rsid w:val="0001582D"/>
    <w:rsid w:val="00015980"/>
    <w:rsid w:val="00015E6A"/>
    <w:rsid w:val="0001696F"/>
    <w:rsid w:val="00016F81"/>
    <w:rsid w:val="00017E3B"/>
    <w:rsid w:val="000201C1"/>
    <w:rsid w:val="000204E4"/>
    <w:rsid w:val="00020F35"/>
    <w:rsid w:val="00021C59"/>
    <w:rsid w:val="00021FD3"/>
    <w:rsid w:val="00022CBF"/>
    <w:rsid w:val="00023055"/>
    <w:rsid w:val="00023156"/>
    <w:rsid w:val="00023185"/>
    <w:rsid w:val="00023AA3"/>
    <w:rsid w:val="0002474C"/>
    <w:rsid w:val="00026A08"/>
    <w:rsid w:val="00026B7C"/>
    <w:rsid w:val="0002713D"/>
    <w:rsid w:val="000279EA"/>
    <w:rsid w:val="000302E6"/>
    <w:rsid w:val="00030A90"/>
    <w:rsid w:val="00030EBD"/>
    <w:rsid w:val="000316BD"/>
    <w:rsid w:val="00031952"/>
    <w:rsid w:val="00031972"/>
    <w:rsid w:val="00032E2D"/>
    <w:rsid w:val="000334DF"/>
    <w:rsid w:val="00033536"/>
    <w:rsid w:val="000337C1"/>
    <w:rsid w:val="00033AA1"/>
    <w:rsid w:val="00033B6A"/>
    <w:rsid w:val="000340B1"/>
    <w:rsid w:val="00034324"/>
    <w:rsid w:val="0003496F"/>
    <w:rsid w:val="00034A34"/>
    <w:rsid w:val="00034BA3"/>
    <w:rsid w:val="00034CDA"/>
    <w:rsid w:val="00034F63"/>
    <w:rsid w:val="00035AD0"/>
    <w:rsid w:val="00035B4A"/>
    <w:rsid w:val="00036198"/>
    <w:rsid w:val="0003627F"/>
    <w:rsid w:val="00036289"/>
    <w:rsid w:val="00037505"/>
    <w:rsid w:val="00037B85"/>
    <w:rsid w:val="00037E5E"/>
    <w:rsid w:val="000404C6"/>
    <w:rsid w:val="000405BF"/>
    <w:rsid w:val="00040C87"/>
    <w:rsid w:val="00040CAE"/>
    <w:rsid w:val="00041067"/>
    <w:rsid w:val="00041856"/>
    <w:rsid w:val="00041921"/>
    <w:rsid w:val="000430E9"/>
    <w:rsid w:val="0004419A"/>
    <w:rsid w:val="00044BB7"/>
    <w:rsid w:val="00044EE1"/>
    <w:rsid w:val="00044F9F"/>
    <w:rsid w:val="00045942"/>
    <w:rsid w:val="00045EE5"/>
    <w:rsid w:val="00046935"/>
    <w:rsid w:val="00047196"/>
    <w:rsid w:val="00050258"/>
    <w:rsid w:val="0005034F"/>
    <w:rsid w:val="00050DE7"/>
    <w:rsid w:val="00050EE5"/>
    <w:rsid w:val="00051277"/>
    <w:rsid w:val="0005173F"/>
    <w:rsid w:val="00051ECE"/>
    <w:rsid w:val="00053AE8"/>
    <w:rsid w:val="00054037"/>
    <w:rsid w:val="00054663"/>
    <w:rsid w:val="00055300"/>
    <w:rsid w:val="00055AB6"/>
    <w:rsid w:val="00055E45"/>
    <w:rsid w:val="000565E1"/>
    <w:rsid w:val="000566BB"/>
    <w:rsid w:val="00056A13"/>
    <w:rsid w:val="0005749C"/>
    <w:rsid w:val="00061311"/>
    <w:rsid w:val="00061B85"/>
    <w:rsid w:val="00062064"/>
    <w:rsid w:val="000620CD"/>
    <w:rsid w:val="00062994"/>
    <w:rsid w:val="00063071"/>
    <w:rsid w:val="000633B8"/>
    <w:rsid w:val="00063B93"/>
    <w:rsid w:val="00063EFE"/>
    <w:rsid w:val="000643F7"/>
    <w:rsid w:val="00064400"/>
    <w:rsid w:val="00064417"/>
    <w:rsid w:val="0006463B"/>
    <w:rsid w:val="00064649"/>
    <w:rsid w:val="0006496D"/>
    <w:rsid w:val="00064BF9"/>
    <w:rsid w:val="0006521A"/>
    <w:rsid w:val="00065388"/>
    <w:rsid w:val="00065665"/>
    <w:rsid w:val="0006601A"/>
    <w:rsid w:val="000665FE"/>
    <w:rsid w:val="00067422"/>
    <w:rsid w:val="00067818"/>
    <w:rsid w:val="00067833"/>
    <w:rsid w:val="00067B00"/>
    <w:rsid w:val="00067D7A"/>
    <w:rsid w:val="00070340"/>
    <w:rsid w:val="000708F9"/>
    <w:rsid w:val="000709BF"/>
    <w:rsid w:val="00070F54"/>
    <w:rsid w:val="000719DB"/>
    <w:rsid w:val="00071DAC"/>
    <w:rsid w:val="00072CA0"/>
    <w:rsid w:val="00072DEB"/>
    <w:rsid w:val="00072FF3"/>
    <w:rsid w:val="00073115"/>
    <w:rsid w:val="000733F5"/>
    <w:rsid w:val="000734AE"/>
    <w:rsid w:val="00073913"/>
    <w:rsid w:val="00073F2F"/>
    <w:rsid w:val="00073F84"/>
    <w:rsid w:val="0007414A"/>
    <w:rsid w:val="000743D1"/>
    <w:rsid w:val="000746A8"/>
    <w:rsid w:val="00074FC6"/>
    <w:rsid w:val="00075E6F"/>
    <w:rsid w:val="00076052"/>
    <w:rsid w:val="00076223"/>
    <w:rsid w:val="00076436"/>
    <w:rsid w:val="00076558"/>
    <w:rsid w:val="00076B7F"/>
    <w:rsid w:val="00077068"/>
    <w:rsid w:val="0007761C"/>
    <w:rsid w:val="000778A6"/>
    <w:rsid w:val="0007793B"/>
    <w:rsid w:val="00077C43"/>
    <w:rsid w:val="00077C46"/>
    <w:rsid w:val="00077D8B"/>
    <w:rsid w:val="00077F9F"/>
    <w:rsid w:val="00080365"/>
    <w:rsid w:val="00080F05"/>
    <w:rsid w:val="000816B7"/>
    <w:rsid w:val="00081BA2"/>
    <w:rsid w:val="00082314"/>
    <w:rsid w:val="00082390"/>
    <w:rsid w:val="00082803"/>
    <w:rsid w:val="00082B6F"/>
    <w:rsid w:val="00082EB0"/>
    <w:rsid w:val="00083029"/>
    <w:rsid w:val="00083463"/>
    <w:rsid w:val="00083C57"/>
    <w:rsid w:val="000841AB"/>
    <w:rsid w:val="00084359"/>
    <w:rsid w:val="00084B57"/>
    <w:rsid w:val="00084EFD"/>
    <w:rsid w:val="00085489"/>
    <w:rsid w:val="00085E22"/>
    <w:rsid w:val="000863D1"/>
    <w:rsid w:val="00086607"/>
    <w:rsid w:val="00086A7A"/>
    <w:rsid w:val="00086DE4"/>
    <w:rsid w:val="000874E4"/>
    <w:rsid w:val="00087822"/>
    <w:rsid w:val="0008798A"/>
    <w:rsid w:val="00087DEF"/>
    <w:rsid w:val="0009050C"/>
    <w:rsid w:val="00090A54"/>
    <w:rsid w:val="000921FF"/>
    <w:rsid w:val="0009280A"/>
    <w:rsid w:val="00092C72"/>
    <w:rsid w:val="00092F80"/>
    <w:rsid w:val="00093B1B"/>
    <w:rsid w:val="00093BC8"/>
    <w:rsid w:val="00094079"/>
    <w:rsid w:val="00094187"/>
    <w:rsid w:val="000942A8"/>
    <w:rsid w:val="000944DC"/>
    <w:rsid w:val="00094641"/>
    <w:rsid w:val="00095245"/>
    <w:rsid w:val="00095368"/>
    <w:rsid w:val="00095431"/>
    <w:rsid w:val="000955A6"/>
    <w:rsid w:val="0009679B"/>
    <w:rsid w:val="00096C11"/>
    <w:rsid w:val="00096FC2"/>
    <w:rsid w:val="00097185"/>
    <w:rsid w:val="000978D4"/>
    <w:rsid w:val="000A009C"/>
    <w:rsid w:val="000A01C7"/>
    <w:rsid w:val="000A0BC4"/>
    <w:rsid w:val="000A1B67"/>
    <w:rsid w:val="000A1C1D"/>
    <w:rsid w:val="000A2970"/>
    <w:rsid w:val="000A2A2A"/>
    <w:rsid w:val="000A2A81"/>
    <w:rsid w:val="000A315C"/>
    <w:rsid w:val="000A3B88"/>
    <w:rsid w:val="000A3FD5"/>
    <w:rsid w:val="000A4A30"/>
    <w:rsid w:val="000A4A5B"/>
    <w:rsid w:val="000A4A8E"/>
    <w:rsid w:val="000A4BA2"/>
    <w:rsid w:val="000A4C42"/>
    <w:rsid w:val="000A4D00"/>
    <w:rsid w:val="000A55E9"/>
    <w:rsid w:val="000A60E3"/>
    <w:rsid w:val="000A6219"/>
    <w:rsid w:val="000A653C"/>
    <w:rsid w:val="000A66D6"/>
    <w:rsid w:val="000A694F"/>
    <w:rsid w:val="000A6DD1"/>
    <w:rsid w:val="000A6DED"/>
    <w:rsid w:val="000A6DF5"/>
    <w:rsid w:val="000A71F5"/>
    <w:rsid w:val="000A7631"/>
    <w:rsid w:val="000A7792"/>
    <w:rsid w:val="000A7BFA"/>
    <w:rsid w:val="000A7E34"/>
    <w:rsid w:val="000B0351"/>
    <w:rsid w:val="000B071E"/>
    <w:rsid w:val="000B0A14"/>
    <w:rsid w:val="000B0B87"/>
    <w:rsid w:val="000B0BFF"/>
    <w:rsid w:val="000B0C3D"/>
    <w:rsid w:val="000B12F3"/>
    <w:rsid w:val="000B264B"/>
    <w:rsid w:val="000B2E83"/>
    <w:rsid w:val="000B39D1"/>
    <w:rsid w:val="000B40C2"/>
    <w:rsid w:val="000B40C4"/>
    <w:rsid w:val="000B4168"/>
    <w:rsid w:val="000B428C"/>
    <w:rsid w:val="000B4ECB"/>
    <w:rsid w:val="000B5B09"/>
    <w:rsid w:val="000B5CD6"/>
    <w:rsid w:val="000B5DAB"/>
    <w:rsid w:val="000B6098"/>
    <w:rsid w:val="000B615E"/>
    <w:rsid w:val="000B7097"/>
    <w:rsid w:val="000B71A8"/>
    <w:rsid w:val="000B7353"/>
    <w:rsid w:val="000B7627"/>
    <w:rsid w:val="000B7B9F"/>
    <w:rsid w:val="000B7FF5"/>
    <w:rsid w:val="000C035A"/>
    <w:rsid w:val="000C05CA"/>
    <w:rsid w:val="000C0D0A"/>
    <w:rsid w:val="000C1B71"/>
    <w:rsid w:val="000C1DA8"/>
    <w:rsid w:val="000C3114"/>
    <w:rsid w:val="000C321E"/>
    <w:rsid w:val="000C3F88"/>
    <w:rsid w:val="000C4249"/>
    <w:rsid w:val="000C467F"/>
    <w:rsid w:val="000C4C63"/>
    <w:rsid w:val="000C5FF0"/>
    <w:rsid w:val="000C6193"/>
    <w:rsid w:val="000C6EFD"/>
    <w:rsid w:val="000C735B"/>
    <w:rsid w:val="000C7737"/>
    <w:rsid w:val="000C7F94"/>
    <w:rsid w:val="000D0185"/>
    <w:rsid w:val="000D0783"/>
    <w:rsid w:val="000D0794"/>
    <w:rsid w:val="000D1531"/>
    <w:rsid w:val="000D1770"/>
    <w:rsid w:val="000D180B"/>
    <w:rsid w:val="000D1955"/>
    <w:rsid w:val="000D1963"/>
    <w:rsid w:val="000D2993"/>
    <w:rsid w:val="000D29A7"/>
    <w:rsid w:val="000D2B25"/>
    <w:rsid w:val="000D2BE7"/>
    <w:rsid w:val="000D3563"/>
    <w:rsid w:val="000D3FE5"/>
    <w:rsid w:val="000D456B"/>
    <w:rsid w:val="000D45FF"/>
    <w:rsid w:val="000D4E7F"/>
    <w:rsid w:val="000D522D"/>
    <w:rsid w:val="000D57AA"/>
    <w:rsid w:val="000D5BE8"/>
    <w:rsid w:val="000D5BFA"/>
    <w:rsid w:val="000D68EC"/>
    <w:rsid w:val="000D73C3"/>
    <w:rsid w:val="000D7AED"/>
    <w:rsid w:val="000D7CB9"/>
    <w:rsid w:val="000E0F57"/>
    <w:rsid w:val="000E12E1"/>
    <w:rsid w:val="000E169F"/>
    <w:rsid w:val="000E18AA"/>
    <w:rsid w:val="000E2314"/>
    <w:rsid w:val="000E2815"/>
    <w:rsid w:val="000E37C6"/>
    <w:rsid w:val="000E37D5"/>
    <w:rsid w:val="000E3822"/>
    <w:rsid w:val="000E416E"/>
    <w:rsid w:val="000E4174"/>
    <w:rsid w:val="000E427E"/>
    <w:rsid w:val="000E4C55"/>
    <w:rsid w:val="000E4F64"/>
    <w:rsid w:val="000E5225"/>
    <w:rsid w:val="000E5EE2"/>
    <w:rsid w:val="000E6907"/>
    <w:rsid w:val="000E7541"/>
    <w:rsid w:val="000E7D2C"/>
    <w:rsid w:val="000E7EF2"/>
    <w:rsid w:val="000F1599"/>
    <w:rsid w:val="000F1CE2"/>
    <w:rsid w:val="000F1DED"/>
    <w:rsid w:val="000F1DEE"/>
    <w:rsid w:val="000F1E18"/>
    <w:rsid w:val="000F2BCD"/>
    <w:rsid w:val="000F2EDB"/>
    <w:rsid w:val="000F2FE8"/>
    <w:rsid w:val="000F383E"/>
    <w:rsid w:val="000F3FFF"/>
    <w:rsid w:val="000F44ED"/>
    <w:rsid w:val="000F4B95"/>
    <w:rsid w:val="000F4E5E"/>
    <w:rsid w:val="000F5992"/>
    <w:rsid w:val="000F6AB9"/>
    <w:rsid w:val="000F6B00"/>
    <w:rsid w:val="000F6FE4"/>
    <w:rsid w:val="000F7194"/>
    <w:rsid w:val="000F746A"/>
    <w:rsid w:val="000F749D"/>
    <w:rsid w:val="000F7811"/>
    <w:rsid w:val="0010047E"/>
    <w:rsid w:val="001008C8"/>
    <w:rsid w:val="0010124A"/>
    <w:rsid w:val="001017D7"/>
    <w:rsid w:val="001019D5"/>
    <w:rsid w:val="00102396"/>
    <w:rsid w:val="00102D15"/>
    <w:rsid w:val="00103102"/>
    <w:rsid w:val="00104E2B"/>
    <w:rsid w:val="001051AF"/>
    <w:rsid w:val="001057AF"/>
    <w:rsid w:val="001064B4"/>
    <w:rsid w:val="00106684"/>
    <w:rsid w:val="0010699C"/>
    <w:rsid w:val="00106EC5"/>
    <w:rsid w:val="00107005"/>
    <w:rsid w:val="001072E0"/>
    <w:rsid w:val="0010744E"/>
    <w:rsid w:val="00107B42"/>
    <w:rsid w:val="00107E83"/>
    <w:rsid w:val="001108D1"/>
    <w:rsid w:val="00111111"/>
    <w:rsid w:val="001118DA"/>
    <w:rsid w:val="00111EB0"/>
    <w:rsid w:val="00111F0F"/>
    <w:rsid w:val="001123E7"/>
    <w:rsid w:val="001129B2"/>
    <w:rsid w:val="00112A7E"/>
    <w:rsid w:val="001139CD"/>
    <w:rsid w:val="00113A3E"/>
    <w:rsid w:val="001144DF"/>
    <w:rsid w:val="00114702"/>
    <w:rsid w:val="00114A7D"/>
    <w:rsid w:val="00114A97"/>
    <w:rsid w:val="001159EE"/>
    <w:rsid w:val="00115CEB"/>
    <w:rsid w:val="00115E66"/>
    <w:rsid w:val="001161CF"/>
    <w:rsid w:val="001167DB"/>
    <w:rsid w:val="00116A34"/>
    <w:rsid w:val="00116BF6"/>
    <w:rsid w:val="00116D76"/>
    <w:rsid w:val="00116E49"/>
    <w:rsid w:val="00116EEE"/>
    <w:rsid w:val="00117062"/>
    <w:rsid w:val="001170CE"/>
    <w:rsid w:val="001178E2"/>
    <w:rsid w:val="00117C52"/>
    <w:rsid w:val="00117E15"/>
    <w:rsid w:val="001209B7"/>
    <w:rsid w:val="001213E9"/>
    <w:rsid w:val="001214D0"/>
    <w:rsid w:val="0012191F"/>
    <w:rsid w:val="00122ED2"/>
    <w:rsid w:val="00122F0D"/>
    <w:rsid w:val="001230B1"/>
    <w:rsid w:val="00123B86"/>
    <w:rsid w:val="00123D76"/>
    <w:rsid w:val="00123DB7"/>
    <w:rsid w:val="00123E85"/>
    <w:rsid w:val="0012425E"/>
    <w:rsid w:val="00124942"/>
    <w:rsid w:val="00124DCD"/>
    <w:rsid w:val="00124F09"/>
    <w:rsid w:val="0012511F"/>
    <w:rsid w:val="00125392"/>
    <w:rsid w:val="00125527"/>
    <w:rsid w:val="00125C92"/>
    <w:rsid w:val="001266B4"/>
    <w:rsid w:val="00126AD8"/>
    <w:rsid w:val="001276ED"/>
    <w:rsid w:val="001277B5"/>
    <w:rsid w:val="00127854"/>
    <w:rsid w:val="00127CEB"/>
    <w:rsid w:val="00127E6A"/>
    <w:rsid w:val="00130067"/>
    <w:rsid w:val="001302B8"/>
    <w:rsid w:val="001306E4"/>
    <w:rsid w:val="00131086"/>
    <w:rsid w:val="0013112F"/>
    <w:rsid w:val="0013161B"/>
    <w:rsid w:val="00131C30"/>
    <w:rsid w:val="00131D14"/>
    <w:rsid w:val="00131F24"/>
    <w:rsid w:val="00132003"/>
    <w:rsid w:val="00132477"/>
    <w:rsid w:val="0013362D"/>
    <w:rsid w:val="0013431D"/>
    <w:rsid w:val="00134648"/>
    <w:rsid w:val="001347EC"/>
    <w:rsid w:val="00134D6F"/>
    <w:rsid w:val="00135759"/>
    <w:rsid w:val="00135AED"/>
    <w:rsid w:val="00135BC4"/>
    <w:rsid w:val="001369C3"/>
    <w:rsid w:val="00136EE6"/>
    <w:rsid w:val="001378A8"/>
    <w:rsid w:val="00137AF4"/>
    <w:rsid w:val="00137B6B"/>
    <w:rsid w:val="00137DCB"/>
    <w:rsid w:val="001407AB"/>
    <w:rsid w:val="00141CB6"/>
    <w:rsid w:val="00142194"/>
    <w:rsid w:val="00142DA2"/>
    <w:rsid w:val="0014457C"/>
    <w:rsid w:val="001449E6"/>
    <w:rsid w:val="00144A01"/>
    <w:rsid w:val="00144E1E"/>
    <w:rsid w:val="001454FB"/>
    <w:rsid w:val="0014579B"/>
    <w:rsid w:val="00146A7E"/>
    <w:rsid w:val="00146B52"/>
    <w:rsid w:val="00147A72"/>
    <w:rsid w:val="00150404"/>
    <w:rsid w:val="001505CF"/>
    <w:rsid w:val="00150615"/>
    <w:rsid w:val="00150A96"/>
    <w:rsid w:val="0015132A"/>
    <w:rsid w:val="00151383"/>
    <w:rsid w:val="00151628"/>
    <w:rsid w:val="00151A64"/>
    <w:rsid w:val="00151CC8"/>
    <w:rsid w:val="001520E7"/>
    <w:rsid w:val="0015286F"/>
    <w:rsid w:val="001528B1"/>
    <w:rsid w:val="00152ABE"/>
    <w:rsid w:val="00152AFF"/>
    <w:rsid w:val="0015328E"/>
    <w:rsid w:val="00154890"/>
    <w:rsid w:val="0015528D"/>
    <w:rsid w:val="001554EC"/>
    <w:rsid w:val="00155BC1"/>
    <w:rsid w:val="00155BD2"/>
    <w:rsid w:val="0015674A"/>
    <w:rsid w:val="00157E12"/>
    <w:rsid w:val="001602D9"/>
    <w:rsid w:val="00160438"/>
    <w:rsid w:val="001605FB"/>
    <w:rsid w:val="00160863"/>
    <w:rsid w:val="00160C56"/>
    <w:rsid w:val="00160E79"/>
    <w:rsid w:val="001612BA"/>
    <w:rsid w:val="00161BDC"/>
    <w:rsid w:val="001621B2"/>
    <w:rsid w:val="00162769"/>
    <w:rsid w:val="00163021"/>
    <w:rsid w:val="0016315E"/>
    <w:rsid w:val="00163A4F"/>
    <w:rsid w:val="00164057"/>
    <w:rsid w:val="001648B4"/>
    <w:rsid w:val="00164A96"/>
    <w:rsid w:val="00165114"/>
    <w:rsid w:val="00165276"/>
    <w:rsid w:val="0016528C"/>
    <w:rsid w:val="001654FA"/>
    <w:rsid w:val="0016649D"/>
    <w:rsid w:val="001665C2"/>
    <w:rsid w:val="0016722F"/>
    <w:rsid w:val="001676E6"/>
    <w:rsid w:val="00167DD2"/>
    <w:rsid w:val="00167EAD"/>
    <w:rsid w:val="00170051"/>
    <w:rsid w:val="00170340"/>
    <w:rsid w:val="0017080E"/>
    <w:rsid w:val="00170C26"/>
    <w:rsid w:val="00171430"/>
    <w:rsid w:val="00171519"/>
    <w:rsid w:val="00172140"/>
    <w:rsid w:val="00173C5E"/>
    <w:rsid w:val="00173D2C"/>
    <w:rsid w:val="00174529"/>
    <w:rsid w:val="00174B79"/>
    <w:rsid w:val="00174D16"/>
    <w:rsid w:val="00174E84"/>
    <w:rsid w:val="00175041"/>
    <w:rsid w:val="001755DB"/>
    <w:rsid w:val="00175BB3"/>
    <w:rsid w:val="00176570"/>
    <w:rsid w:val="00176634"/>
    <w:rsid w:val="00176A91"/>
    <w:rsid w:val="0017703B"/>
    <w:rsid w:val="00177172"/>
    <w:rsid w:val="00177477"/>
    <w:rsid w:val="00177851"/>
    <w:rsid w:val="00177B77"/>
    <w:rsid w:val="00177E3F"/>
    <w:rsid w:val="001801CB"/>
    <w:rsid w:val="00180275"/>
    <w:rsid w:val="00180644"/>
    <w:rsid w:val="00180EBB"/>
    <w:rsid w:val="00181091"/>
    <w:rsid w:val="0018131E"/>
    <w:rsid w:val="00181735"/>
    <w:rsid w:val="0018191A"/>
    <w:rsid w:val="00181BE3"/>
    <w:rsid w:val="00182153"/>
    <w:rsid w:val="00182398"/>
    <w:rsid w:val="00183525"/>
    <w:rsid w:val="0018358B"/>
    <w:rsid w:val="00183724"/>
    <w:rsid w:val="001837D4"/>
    <w:rsid w:val="00184EAF"/>
    <w:rsid w:val="00184FFB"/>
    <w:rsid w:val="0018503D"/>
    <w:rsid w:val="0018523C"/>
    <w:rsid w:val="00185E01"/>
    <w:rsid w:val="00186242"/>
    <w:rsid w:val="00186292"/>
    <w:rsid w:val="00187319"/>
    <w:rsid w:val="00187533"/>
    <w:rsid w:val="0019079F"/>
    <w:rsid w:val="00190953"/>
    <w:rsid w:val="00190A19"/>
    <w:rsid w:val="00191194"/>
    <w:rsid w:val="00191762"/>
    <w:rsid w:val="00192441"/>
    <w:rsid w:val="00193478"/>
    <w:rsid w:val="001935E2"/>
    <w:rsid w:val="00193B8B"/>
    <w:rsid w:val="0019444D"/>
    <w:rsid w:val="00194A22"/>
    <w:rsid w:val="00194D8F"/>
    <w:rsid w:val="00195571"/>
    <w:rsid w:val="001958DC"/>
    <w:rsid w:val="00195962"/>
    <w:rsid w:val="00196252"/>
    <w:rsid w:val="001966AA"/>
    <w:rsid w:val="001968EE"/>
    <w:rsid w:val="00196D5E"/>
    <w:rsid w:val="00196F4B"/>
    <w:rsid w:val="001971A3"/>
    <w:rsid w:val="0019745F"/>
    <w:rsid w:val="001A0639"/>
    <w:rsid w:val="001A0CAB"/>
    <w:rsid w:val="001A0E41"/>
    <w:rsid w:val="001A11EB"/>
    <w:rsid w:val="001A13C7"/>
    <w:rsid w:val="001A1D0A"/>
    <w:rsid w:val="001A3056"/>
    <w:rsid w:val="001A312F"/>
    <w:rsid w:val="001A327E"/>
    <w:rsid w:val="001A330F"/>
    <w:rsid w:val="001A344A"/>
    <w:rsid w:val="001A36AB"/>
    <w:rsid w:val="001A39F9"/>
    <w:rsid w:val="001A3ACE"/>
    <w:rsid w:val="001A3D32"/>
    <w:rsid w:val="001A406C"/>
    <w:rsid w:val="001A423C"/>
    <w:rsid w:val="001A494C"/>
    <w:rsid w:val="001A4B26"/>
    <w:rsid w:val="001A60AE"/>
    <w:rsid w:val="001A62A1"/>
    <w:rsid w:val="001A63E7"/>
    <w:rsid w:val="001A64CF"/>
    <w:rsid w:val="001A6AF5"/>
    <w:rsid w:val="001A6BDC"/>
    <w:rsid w:val="001A6CDA"/>
    <w:rsid w:val="001A77A1"/>
    <w:rsid w:val="001A7ABC"/>
    <w:rsid w:val="001B0B8C"/>
    <w:rsid w:val="001B0F50"/>
    <w:rsid w:val="001B1136"/>
    <w:rsid w:val="001B16CE"/>
    <w:rsid w:val="001B1C75"/>
    <w:rsid w:val="001B253D"/>
    <w:rsid w:val="001B2A03"/>
    <w:rsid w:val="001B2FDC"/>
    <w:rsid w:val="001B31D7"/>
    <w:rsid w:val="001B381A"/>
    <w:rsid w:val="001B4093"/>
    <w:rsid w:val="001B522A"/>
    <w:rsid w:val="001B5614"/>
    <w:rsid w:val="001B5738"/>
    <w:rsid w:val="001B58C9"/>
    <w:rsid w:val="001B5B22"/>
    <w:rsid w:val="001B5E1A"/>
    <w:rsid w:val="001B6006"/>
    <w:rsid w:val="001B6727"/>
    <w:rsid w:val="001B6BD1"/>
    <w:rsid w:val="001B6E93"/>
    <w:rsid w:val="001B74F5"/>
    <w:rsid w:val="001B793A"/>
    <w:rsid w:val="001B79FD"/>
    <w:rsid w:val="001B7B84"/>
    <w:rsid w:val="001C05AB"/>
    <w:rsid w:val="001C06EB"/>
    <w:rsid w:val="001C0D96"/>
    <w:rsid w:val="001C1059"/>
    <w:rsid w:val="001C1BD0"/>
    <w:rsid w:val="001C1FAE"/>
    <w:rsid w:val="001C2A8A"/>
    <w:rsid w:val="001C3869"/>
    <w:rsid w:val="001C4859"/>
    <w:rsid w:val="001C54F3"/>
    <w:rsid w:val="001C5539"/>
    <w:rsid w:val="001C5E26"/>
    <w:rsid w:val="001C6D7C"/>
    <w:rsid w:val="001C7A1D"/>
    <w:rsid w:val="001D1184"/>
    <w:rsid w:val="001D28A8"/>
    <w:rsid w:val="001D2F5F"/>
    <w:rsid w:val="001D30A6"/>
    <w:rsid w:val="001D44EC"/>
    <w:rsid w:val="001D4B0E"/>
    <w:rsid w:val="001D58FF"/>
    <w:rsid w:val="001D59B0"/>
    <w:rsid w:val="001D6266"/>
    <w:rsid w:val="001D63FD"/>
    <w:rsid w:val="001D677E"/>
    <w:rsid w:val="001D687E"/>
    <w:rsid w:val="001D6CF0"/>
    <w:rsid w:val="001D6F3F"/>
    <w:rsid w:val="001D72FB"/>
    <w:rsid w:val="001D77AA"/>
    <w:rsid w:val="001D77EC"/>
    <w:rsid w:val="001D79C2"/>
    <w:rsid w:val="001E011D"/>
    <w:rsid w:val="001E04F1"/>
    <w:rsid w:val="001E07BF"/>
    <w:rsid w:val="001E1E50"/>
    <w:rsid w:val="001E2173"/>
    <w:rsid w:val="001E217D"/>
    <w:rsid w:val="001E3BD1"/>
    <w:rsid w:val="001E3F0E"/>
    <w:rsid w:val="001E4217"/>
    <w:rsid w:val="001E44BA"/>
    <w:rsid w:val="001E460E"/>
    <w:rsid w:val="001E4676"/>
    <w:rsid w:val="001E4EE8"/>
    <w:rsid w:val="001E5159"/>
    <w:rsid w:val="001E68D0"/>
    <w:rsid w:val="001E6F95"/>
    <w:rsid w:val="001E72CE"/>
    <w:rsid w:val="001E7E31"/>
    <w:rsid w:val="001F00B5"/>
    <w:rsid w:val="001F07C5"/>
    <w:rsid w:val="001F0EEE"/>
    <w:rsid w:val="001F0FEB"/>
    <w:rsid w:val="001F1324"/>
    <w:rsid w:val="001F134E"/>
    <w:rsid w:val="001F1528"/>
    <w:rsid w:val="001F1946"/>
    <w:rsid w:val="001F1C38"/>
    <w:rsid w:val="001F1C73"/>
    <w:rsid w:val="001F2AA8"/>
    <w:rsid w:val="001F2D44"/>
    <w:rsid w:val="001F3378"/>
    <w:rsid w:val="001F3654"/>
    <w:rsid w:val="001F3C43"/>
    <w:rsid w:val="001F4719"/>
    <w:rsid w:val="001F4917"/>
    <w:rsid w:val="001F4F17"/>
    <w:rsid w:val="001F4F38"/>
    <w:rsid w:val="001F52BB"/>
    <w:rsid w:val="001F5808"/>
    <w:rsid w:val="001F5B4F"/>
    <w:rsid w:val="001F65EA"/>
    <w:rsid w:val="001F66CF"/>
    <w:rsid w:val="001F6F66"/>
    <w:rsid w:val="001F7137"/>
    <w:rsid w:val="001F7188"/>
    <w:rsid w:val="001F7273"/>
    <w:rsid w:val="001F732F"/>
    <w:rsid w:val="001F7DFE"/>
    <w:rsid w:val="002005FD"/>
    <w:rsid w:val="002009FC"/>
    <w:rsid w:val="00201180"/>
    <w:rsid w:val="00201590"/>
    <w:rsid w:val="00201756"/>
    <w:rsid w:val="00201F0C"/>
    <w:rsid w:val="00201F26"/>
    <w:rsid w:val="00202022"/>
    <w:rsid w:val="00202157"/>
    <w:rsid w:val="002028E4"/>
    <w:rsid w:val="00202D5B"/>
    <w:rsid w:val="00202F2A"/>
    <w:rsid w:val="002036F3"/>
    <w:rsid w:val="0020412A"/>
    <w:rsid w:val="00204191"/>
    <w:rsid w:val="002047D3"/>
    <w:rsid w:val="00204D49"/>
    <w:rsid w:val="00204DCE"/>
    <w:rsid w:val="0020508D"/>
    <w:rsid w:val="002054D8"/>
    <w:rsid w:val="002056FA"/>
    <w:rsid w:val="00205719"/>
    <w:rsid w:val="00205A83"/>
    <w:rsid w:val="00205CBD"/>
    <w:rsid w:val="00206487"/>
    <w:rsid w:val="0020674D"/>
    <w:rsid w:val="00206C3F"/>
    <w:rsid w:val="00207B64"/>
    <w:rsid w:val="00207E8B"/>
    <w:rsid w:val="00207F3A"/>
    <w:rsid w:val="00210071"/>
    <w:rsid w:val="002101C6"/>
    <w:rsid w:val="002104AB"/>
    <w:rsid w:val="002106D6"/>
    <w:rsid w:val="002108DD"/>
    <w:rsid w:val="0021092F"/>
    <w:rsid w:val="00210D0F"/>
    <w:rsid w:val="00210E8F"/>
    <w:rsid w:val="00211151"/>
    <w:rsid w:val="002113C7"/>
    <w:rsid w:val="0021169E"/>
    <w:rsid w:val="00211789"/>
    <w:rsid w:val="00211A04"/>
    <w:rsid w:val="00211AD9"/>
    <w:rsid w:val="00211C20"/>
    <w:rsid w:val="002128EE"/>
    <w:rsid w:val="002130FB"/>
    <w:rsid w:val="0021421B"/>
    <w:rsid w:val="0021443C"/>
    <w:rsid w:val="002157C5"/>
    <w:rsid w:val="00215BDE"/>
    <w:rsid w:val="00216381"/>
    <w:rsid w:val="002164F2"/>
    <w:rsid w:val="002169E6"/>
    <w:rsid w:val="0021708A"/>
    <w:rsid w:val="002173CF"/>
    <w:rsid w:val="00217490"/>
    <w:rsid w:val="00217DC1"/>
    <w:rsid w:val="00217E3C"/>
    <w:rsid w:val="00220226"/>
    <w:rsid w:val="00220734"/>
    <w:rsid w:val="002216C1"/>
    <w:rsid w:val="002217C9"/>
    <w:rsid w:val="00221B6F"/>
    <w:rsid w:val="00221CCF"/>
    <w:rsid w:val="00222513"/>
    <w:rsid w:val="0022259D"/>
    <w:rsid w:val="0022290A"/>
    <w:rsid w:val="0022346E"/>
    <w:rsid w:val="00224266"/>
    <w:rsid w:val="00224DB7"/>
    <w:rsid w:val="00225A4D"/>
    <w:rsid w:val="00225A93"/>
    <w:rsid w:val="00226100"/>
    <w:rsid w:val="002263FB"/>
    <w:rsid w:val="00226565"/>
    <w:rsid w:val="002267AC"/>
    <w:rsid w:val="00226C70"/>
    <w:rsid w:val="00227667"/>
    <w:rsid w:val="00227D3F"/>
    <w:rsid w:val="00227E28"/>
    <w:rsid w:val="002302A5"/>
    <w:rsid w:val="002306BE"/>
    <w:rsid w:val="00230CC1"/>
    <w:rsid w:val="00230D14"/>
    <w:rsid w:val="00231065"/>
    <w:rsid w:val="002314E9"/>
    <w:rsid w:val="00231668"/>
    <w:rsid w:val="00231F99"/>
    <w:rsid w:val="00232817"/>
    <w:rsid w:val="00232C3E"/>
    <w:rsid w:val="00233016"/>
    <w:rsid w:val="00233184"/>
    <w:rsid w:val="002333EC"/>
    <w:rsid w:val="00233881"/>
    <w:rsid w:val="00233F81"/>
    <w:rsid w:val="00235478"/>
    <w:rsid w:val="00235509"/>
    <w:rsid w:val="002358C7"/>
    <w:rsid w:val="002362CC"/>
    <w:rsid w:val="00237506"/>
    <w:rsid w:val="002378D0"/>
    <w:rsid w:val="00237D12"/>
    <w:rsid w:val="002402A5"/>
    <w:rsid w:val="002402D0"/>
    <w:rsid w:val="00240307"/>
    <w:rsid w:val="0024055D"/>
    <w:rsid w:val="0024063F"/>
    <w:rsid w:val="00240C70"/>
    <w:rsid w:val="00240ECA"/>
    <w:rsid w:val="0024120B"/>
    <w:rsid w:val="002414ED"/>
    <w:rsid w:val="00241524"/>
    <w:rsid w:val="00241D6C"/>
    <w:rsid w:val="002423ED"/>
    <w:rsid w:val="00242A2B"/>
    <w:rsid w:val="002431B9"/>
    <w:rsid w:val="00243481"/>
    <w:rsid w:val="00243A1C"/>
    <w:rsid w:val="00243F60"/>
    <w:rsid w:val="002445D3"/>
    <w:rsid w:val="00245AA1"/>
    <w:rsid w:val="00245ACA"/>
    <w:rsid w:val="00245C87"/>
    <w:rsid w:val="00246194"/>
    <w:rsid w:val="00246411"/>
    <w:rsid w:val="00247253"/>
    <w:rsid w:val="00247B6D"/>
    <w:rsid w:val="00250362"/>
    <w:rsid w:val="00252089"/>
    <w:rsid w:val="0025249A"/>
    <w:rsid w:val="00252889"/>
    <w:rsid w:val="00252ADA"/>
    <w:rsid w:val="00252B92"/>
    <w:rsid w:val="0025326E"/>
    <w:rsid w:val="002537E1"/>
    <w:rsid w:val="002542D4"/>
    <w:rsid w:val="002543C7"/>
    <w:rsid w:val="0025448F"/>
    <w:rsid w:val="00254F3C"/>
    <w:rsid w:val="00255021"/>
    <w:rsid w:val="002553EA"/>
    <w:rsid w:val="00255705"/>
    <w:rsid w:val="0025577C"/>
    <w:rsid w:val="002557DC"/>
    <w:rsid w:val="00255A33"/>
    <w:rsid w:val="0025626E"/>
    <w:rsid w:val="0025627D"/>
    <w:rsid w:val="002574F8"/>
    <w:rsid w:val="002576C6"/>
    <w:rsid w:val="0025785F"/>
    <w:rsid w:val="00260197"/>
    <w:rsid w:val="00260820"/>
    <w:rsid w:val="00261517"/>
    <w:rsid w:val="00261696"/>
    <w:rsid w:val="00261799"/>
    <w:rsid w:val="00261984"/>
    <w:rsid w:val="0026218F"/>
    <w:rsid w:val="0026258A"/>
    <w:rsid w:val="00262A9D"/>
    <w:rsid w:val="00263002"/>
    <w:rsid w:val="00263540"/>
    <w:rsid w:val="00263AF8"/>
    <w:rsid w:val="00264279"/>
    <w:rsid w:val="0026440A"/>
    <w:rsid w:val="00265130"/>
    <w:rsid w:val="00265203"/>
    <w:rsid w:val="0026581B"/>
    <w:rsid w:val="00265EDA"/>
    <w:rsid w:val="00266594"/>
    <w:rsid w:val="0026664B"/>
    <w:rsid w:val="002672E6"/>
    <w:rsid w:val="00267DD3"/>
    <w:rsid w:val="00270D49"/>
    <w:rsid w:val="00270E0F"/>
    <w:rsid w:val="00270FEA"/>
    <w:rsid w:val="00272342"/>
    <w:rsid w:val="00272390"/>
    <w:rsid w:val="00272582"/>
    <w:rsid w:val="00272A37"/>
    <w:rsid w:val="00272B60"/>
    <w:rsid w:val="00272E91"/>
    <w:rsid w:val="002734B2"/>
    <w:rsid w:val="00273945"/>
    <w:rsid w:val="00273A8C"/>
    <w:rsid w:val="00273DEE"/>
    <w:rsid w:val="00274DBC"/>
    <w:rsid w:val="0027522C"/>
    <w:rsid w:val="0027543F"/>
    <w:rsid w:val="0027552E"/>
    <w:rsid w:val="002759BD"/>
    <w:rsid w:val="002760E4"/>
    <w:rsid w:val="002765B9"/>
    <w:rsid w:val="00276627"/>
    <w:rsid w:val="00277378"/>
    <w:rsid w:val="002775E0"/>
    <w:rsid w:val="00280BAA"/>
    <w:rsid w:val="00281B11"/>
    <w:rsid w:val="002834D7"/>
    <w:rsid w:val="0028431C"/>
    <w:rsid w:val="00284533"/>
    <w:rsid w:val="0028456E"/>
    <w:rsid w:val="00284581"/>
    <w:rsid w:val="002849CC"/>
    <w:rsid w:val="00284AA1"/>
    <w:rsid w:val="00284B57"/>
    <w:rsid w:val="00284BDB"/>
    <w:rsid w:val="00284FF3"/>
    <w:rsid w:val="00285937"/>
    <w:rsid w:val="00285CC4"/>
    <w:rsid w:val="0028603C"/>
    <w:rsid w:val="00286851"/>
    <w:rsid w:val="00286F54"/>
    <w:rsid w:val="002909AD"/>
    <w:rsid w:val="00291B90"/>
    <w:rsid w:val="00292F4A"/>
    <w:rsid w:val="00293D39"/>
    <w:rsid w:val="00293DF5"/>
    <w:rsid w:val="00294685"/>
    <w:rsid w:val="00294853"/>
    <w:rsid w:val="00294D1A"/>
    <w:rsid w:val="002959F7"/>
    <w:rsid w:val="00295DF4"/>
    <w:rsid w:val="002962C6"/>
    <w:rsid w:val="0029660E"/>
    <w:rsid w:val="0029685C"/>
    <w:rsid w:val="00296FAA"/>
    <w:rsid w:val="00297134"/>
    <w:rsid w:val="0029798C"/>
    <w:rsid w:val="00297BF5"/>
    <w:rsid w:val="00297FC4"/>
    <w:rsid w:val="002A04DB"/>
    <w:rsid w:val="002A1959"/>
    <w:rsid w:val="002A1C1D"/>
    <w:rsid w:val="002A3153"/>
    <w:rsid w:val="002A3638"/>
    <w:rsid w:val="002A3874"/>
    <w:rsid w:val="002A3CEF"/>
    <w:rsid w:val="002A3D2E"/>
    <w:rsid w:val="002A482E"/>
    <w:rsid w:val="002A49E9"/>
    <w:rsid w:val="002A4D9A"/>
    <w:rsid w:val="002A5153"/>
    <w:rsid w:val="002A61A0"/>
    <w:rsid w:val="002A64B0"/>
    <w:rsid w:val="002A666B"/>
    <w:rsid w:val="002A6A99"/>
    <w:rsid w:val="002A6B50"/>
    <w:rsid w:val="002A7567"/>
    <w:rsid w:val="002A7663"/>
    <w:rsid w:val="002A7DF4"/>
    <w:rsid w:val="002B0084"/>
    <w:rsid w:val="002B0308"/>
    <w:rsid w:val="002B0A44"/>
    <w:rsid w:val="002B14F2"/>
    <w:rsid w:val="002B1A43"/>
    <w:rsid w:val="002B1ABC"/>
    <w:rsid w:val="002B1DDB"/>
    <w:rsid w:val="002B1FB9"/>
    <w:rsid w:val="002B24EB"/>
    <w:rsid w:val="002B2690"/>
    <w:rsid w:val="002B26EC"/>
    <w:rsid w:val="002B324A"/>
    <w:rsid w:val="002B37E4"/>
    <w:rsid w:val="002B3D17"/>
    <w:rsid w:val="002B3EF5"/>
    <w:rsid w:val="002B469B"/>
    <w:rsid w:val="002B499B"/>
    <w:rsid w:val="002B5026"/>
    <w:rsid w:val="002B5793"/>
    <w:rsid w:val="002B5B5F"/>
    <w:rsid w:val="002B5F03"/>
    <w:rsid w:val="002B6423"/>
    <w:rsid w:val="002B65EE"/>
    <w:rsid w:val="002B6A63"/>
    <w:rsid w:val="002B6B7B"/>
    <w:rsid w:val="002B708E"/>
    <w:rsid w:val="002B77D4"/>
    <w:rsid w:val="002B7817"/>
    <w:rsid w:val="002B7C85"/>
    <w:rsid w:val="002B7CDE"/>
    <w:rsid w:val="002B7DCD"/>
    <w:rsid w:val="002C0228"/>
    <w:rsid w:val="002C02AE"/>
    <w:rsid w:val="002C0484"/>
    <w:rsid w:val="002C0D1E"/>
    <w:rsid w:val="002C1DFD"/>
    <w:rsid w:val="002C20CF"/>
    <w:rsid w:val="002C2381"/>
    <w:rsid w:val="002C29EB"/>
    <w:rsid w:val="002C2BF7"/>
    <w:rsid w:val="002C2DF6"/>
    <w:rsid w:val="002C324F"/>
    <w:rsid w:val="002C37AD"/>
    <w:rsid w:val="002C3B7F"/>
    <w:rsid w:val="002C4102"/>
    <w:rsid w:val="002C4380"/>
    <w:rsid w:val="002C44F8"/>
    <w:rsid w:val="002C66EA"/>
    <w:rsid w:val="002C6FB9"/>
    <w:rsid w:val="002C6FC6"/>
    <w:rsid w:val="002C729E"/>
    <w:rsid w:val="002C73DA"/>
    <w:rsid w:val="002C77F1"/>
    <w:rsid w:val="002C798B"/>
    <w:rsid w:val="002C7E66"/>
    <w:rsid w:val="002D04F3"/>
    <w:rsid w:val="002D0771"/>
    <w:rsid w:val="002D12E6"/>
    <w:rsid w:val="002D1750"/>
    <w:rsid w:val="002D1867"/>
    <w:rsid w:val="002D1BCB"/>
    <w:rsid w:val="002D2B6F"/>
    <w:rsid w:val="002D2EAA"/>
    <w:rsid w:val="002D304B"/>
    <w:rsid w:val="002D3A3E"/>
    <w:rsid w:val="002D3D52"/>
    <w:rsid w:val="002D4617"/>
    <w:rsid w:val="002D5B85"/>
    <w:rsid w:val="002D5E96"/>
    <w:rsid w:val="002D64B1"/>
    <w:rsid w:val="002D64E7"/>
    <w:rsid w:val="002D6984"/>
    <w:rsid w:val="002D6C02"/>
    <w:rsid w:val="002D6F6A"/>
    <w:rsid w:val="002D73D4"/>
    <w:rsid w:val="002D792F"/>
    <w:rsid w:val="002D7A7B"/>
    <w:rsid w:val="002D7C00"/>
    <w:rsid w:val="002D7E98"/>
    <w:rsid w:val="002E01B5"/>
    <w:rsid w:val="002E023A"/>
    <w:rsid w:val="002E0292"/>
    <w:rsid w:val="002E05E3"/>
    <w:rsid w:val="002E0CF1"/>
    <w:rsid w:val="002E1533"/>
    <w:rsid w:val="002E1AF0"/>
    <w:rsid w:val="002E1F1A"/>
    <w:rsid w:val="002E26BE"/>
    <w:rsid w:val="002E2940"/>
    <w:rsid w:val="002E2B3D"/>
    <w:rsid w:val="002E2E1F"/>
    <w:rsid w:val="002E3A69"/>
    <w:rsid w:val="002E3B8A"/>
    <w:rsid w:val="002E43DA"/>
    <w:rsid w:val="002E462F"/>
    <w:rsid w:val="002E49BF"/>
    <w:rsid w:val="002E5015"/>
    <w:rsid w:val="002E5DC8"/>
    <w:rsid w:val="002E5E18"/>
    <w:rsid w:val="002E620F"/>
    <w:rsid w:val="002E6CBA"/>
    <w:rsid w:val="002E6CF2"/>
    <w:rsid w:val="002E6CF3"/>
    <w:rsid w:val="002E779E"/>
    <w:rsid w:val="002F0126"/>
    <w:rsid w:val="002F04E5"/>
    <w:rsid w:val="002F0C88"/>
    <w:rsid w:val="002F1B07"/>
    <w:rsid w:val="002F29ED"/>
    <w:rsid w:val="002F313C"/>
    <w:rsid w:val="002F33E4"/>
    <w:rsid w:val="002F3F62"/>
    <w:rsid w:val="002F553D"/>
    <w:rsid w:val="002F5584"/>
    <w:rsid w:val="002F5EA3"/>
    <w:rsid w:val="002F60DC"/>
    <w:rsid w:val="002F6350"/>
    <w:rsid w:val="002F65D3"/>
    <w:rsid w:val="002F66A7"/>
    <w:rsid w:val="002F6C62"/>
    <w:rsid w:val="002F6C79"/>
    <w:rsid w:val="002F6E36"/>
    <w:rsid w:val="002F6EF0"/>
    <w:rsid w:val="002F7307"/>
    <w:rsid w:val="002F7734"/>
    <w:rsid w:val="002F790C"/>
    <w:rsid w:val="002F7D96"/>
    <w:rsid w:val="003002FC"/>
    <w:rsid w:val="0030047E"/>
    <w:rsid w:val="0030054A"/>
    <w:rsid w:val="003007FD"/>
    <w:rsid w:val="00300FCD"/>
    <w:rsid w:val="00301451"/>
    <w:rsid w:val="00301764"/>
    <w:rsid w:val="00302274"/>
    <w:rsid w:val="00302D04"/>
    <w:rsid w:val="0030316D"/>
    <w:rsid w:val="003033C3"/>
    <w:rsid w:val="00303A69"/>
    <w:rsid w:val="00304BC5"/>
    <w:rsid w:val="00304C98"/>
    <w:rsid w:val="00304F99"/>
    <w:rsid w:val="003061F3"/>
    <w:rsid w:val="00306229"/>
    <w:rsid w:val="003065EA"/>
    <w:rsid w:val="00306E16"/>
    <w:rsid w:val="003075F8"/>
    <w:rsid w:val="0030791A"/>
    <w:rsid w:val="00310D08"/>
    <w:rsid w:val="00311022"/>
    <w:rsid w:val="00311D1C"/>
    <w:rsid w:val="0031215C"/>
    <w:rsid w:val="00312989"/>
    <w:rsid w:val="00312B46"/>
    <w:rsid w:val="00312DFF"/>
    <w:rsid w:val="00313C11"/>
    <w:rsid w:val="00313E87"/>
    <w:rsid w:val="00313EFD"/>
    <w:rsid w:val="00314E48"/>
    <w:rsid w:val="00314EAA"/>
    <w:rsid w:val="00315218"/>
    <w:rsid w:val="00315F77"/>
    <w:rsid w:val="003162FE"/>
    <w:rsid w:val="003169FF"/>
    <w:rsid w:val="00317374"/>
    <w:rsid w:val="0031782B"/>
    <w:rsid w:val="00320787"/>
    <w:rsid w:val="00320797"/>
    <w:rsid w:val="00321303"/>
    <w:rsid w:val="003215D0"/>
    <w:rsid w:val="00321806"/>
    <w:rsid w:val="00321B0F"/>
    <w:rsid w:val="00321CA7"/>
    <w:rsid w:val="00321E51"/>
    <w:rsid w:val="00322242"/>
    <w:rsid w:val="0032294B"/>
    <w:rsid w:val="00322BDA"/>
    <w:rsid w:val="00322CEA"/>
    <w:rsid w:val="00322FEA"/>
    <w:rsid w:val="0032368B"/>
    <w:rsid w:val="00323B3C"/>
    <w:rsid w:val="00323B9B"/>
    <w:rsid w:val="00323EE0"/>
    <w:rsid w:val="003250B5"/>
    <w:rsid w:val="0032569D"/>
    <w:rsid w:val="0032579B"/>
    <w:rsid w:val="00325E39"/>
    <w:rsid w:val="0032688E"/>
    <w:rsid w:val="0032707E"/>
    <w:rsid w:val="00327342"/>
    <w:rsid w:val="003275CF"/>
    <w:rsid w:val="00327901"/>
    <w:rsid w:val="00327958"/>
    <w:rsid w:val="00327AE8"/>
    <w:rsid w:val="003300D1"/>
    <w:rsid w:val="0033073B"/>
    <w:rsid w:val="00330EEC"/>
    <w:rsid w:val="003310FC"/>
    <w:rsid w:val="003316A2"/>
    <w:rsid w:val="003317B7"/>
    <w:rsid w:val="00331BA2"/>
    <w:rsid w:val="00331F09"/>
    <w:rsid w:val="0033248F"/>
    <w:rsid w:val="0033289C"/>
    <w:rsid w:val="00333651"/>
    <w:rsid w:val="00333CF9"/>
    <w:rsid w:val="00334294"/>
    <w:rsid w:val="0033643A"/>
    <w:rsid w:val="00336881"/>
    <w:rsid w:val="0033705C"/>
    <w:rsid w:val="0033716B"/>
    <w:rsid w:val="00337E3A"/>
    <w:rsid w:val="003403A3"/>
    <w:rsid w:val="00340700"/>
    <w:rsid w:val="00340EFA"/>
    <w:rsid w:val="00340F68"/>
    <w:rsid w:val="0034111E"/>
    <w:rsid w:val="00341701"/>
    <w:rsid w:val="00341AD2"/>
    <w:rsid w:val="00341E1B"/>
    <w:rsid w:val="00341FD3"/>
    <w:rsid w:val="00341FE1"/>
    <w:rsid w:val="003428A2"/>
    <w:rsid w:val="003429EB"/>
    <w:rsid w:val="00343364"/>
    <w:rsid w:val="00343F2D"/>
    <w:rsid w:val="00345340"/>
    <w:rsid w:val="003454D9"/>
    <w:rsid w:val="003468BE"/>
    <w:rsid w:val="003468D2"/>
    <w:rsid w:val="00346D81"/>
    <w:rsid w:val="00346D98"/>
    <w:rsid w:val="00347190"/>
    <w:rsid w:val="00347298"/>
    <w:rsid w:val="003473FC"/>
    <w:rsid w:val="0034767C"/>
    <w:rsid w:val="00350310"/>
    <w:rsid w:val="003504E0"/>
    <w:rsid w:val="003512A3"/>
    <w:rsid w:val="00351B7B"/>
    <w:rsid w:val="003520CF"/>
    <w:rsid w:val="00352130"/>
    <w:rsid w:val="00352236"/>
    <w:rsid w:val="00352629"/>
    <w:rsid w:val="00352E77"/>
    <w:rsid w:val="00352F5E"/>
    <w:rsid w:val="003535C3"/>
    <w:rsid w:val="00353699"/>
    <w:rsid w:val="0035389A"/>
    <w:rsid w:val="0035435C"/>
    <w:rsid w:val="00354637"/>
    <w:rsid w:val="0035480E"/>
    <w:rsid w:val="0035494E"/>
    <w:rsid w:val="00354BFF"/>
    <w:rsid w:val="00355078"/>
    <w:rsid w:val="00355151"/>
    <w:rsid w:val="00355BD8"/>
    <w:rsid w:val="0035620D"/>
    <w:rsid w:val="00356595"/>
    <w:rsid w:val="00356AD2"/>
    <w:rsid w:val="003577C2"/>
    <w:rsid w:val="00357A65"/>
    <w:rsid w:val="003607F7"/>
    <w:rsid w:val="00360DE5"/>
    <w:rsid w:val="003611FF"/>
    <w:rsid w:val="00361C08"/>
    <w:rsid w:val="00361F51"/>
    <w:rsid w:val="0036201E"/>
    <w:rsid w:val="0036203B"/>
    <w:rsid w:val="00362CC8"/>
    <w:rsid w:val="003633E1"/>
    <w:rsid w:val="0036373E"/>
    <w:rsid w:val="003637FE"/>
    <w:rsid w:val="00363899"/>
    <w:rsid w:val="003639F7"/>
    <w:rsid w:val="00363AD4"/>
    <w:rsid w:val="00363D93"/>
    <w:rsid w:val="00363EAE"/>
    <w:rsid w:val="00364893"/>
    <w:rsid w:val="00364C66"/>
    <w:rsid w:val="0036535A"/>
    <w:rsid w:val="00365A9D"/>
    <w:rsid w:val="003664D6"/>
    <w:rsid w:val="0036663D"/>
    <w:rsid w:val="00366BCD"/>
    <w:rsid w:val="00366C81"/>
    <w:rsid w:val="00366D2F"/>
    <w:rsid w:val="00367ED9"/>
    <w:rsid w:val="00370229"/>
    <w:rsid w:val="00370628"/>
    <w:rsid w:val="0037094D"/>
    <w:rsid w:val="00370976"/>
    <w:rsid w:val="0037282B"/>
    <w:rsid w:val="0037338E"/>
    <w:rsid w:val="00373419"/>
    <w:rsid w:val="0037342D"/>
    <w:rsid w:val="003738CE"/>
    <w:rsid w:val="0037433D"/>
    <w:rsid w:val="00374A9F"/>
    <w:rsid w:val="003761FF"/>
    <w:rsid w:val="003764D2"/>
    <w:rsid w:val="00376858"/>
    <w:rsid w:val="00376B56"/>
    <w:rsid w:val="003773A5"/>
    <w:rsid w:val="003775F7"/>
    <w:rsid w:val="0037765D"/>
    <w:rsid w:val="0037791B"/>
    <w:rsid w:val="00377C60"/>
    <w:rsid w:val="00377CC1"/>
    <w:rsid w:val="0038033E"/>
    <w:rsid w:val="00380874"/>
    <w:rsid w:val="003809F8"/>
    <w:rsid w:val="00381950"/>
    <w:rsid w:val="0038219D"/>
    <w:rsid w:val="003822A4"/>
    <w:rsid w:val="003822B8"/>
    <w:rsid w:val="00382429"/>
    <w:rsid w:val="00382C45"/>
    <w:rsid w:val="00383387"/>
    <w:rsid w:val="0038351C"/>
    <w:rsid w:val="00383891"/>
    <w:rsid w:val="00384199"/>
    <w:rsid w:val="003845F8"/>
    <w:rsid w:val="00384A94"/>
    <w:rsid w:val="00384C64"/>
    <w:rsid w:val="00384F28"/>
    <w:rsid w:val="003852A8"/>
    <w:rsid w:val="003854D7"/>
    <w:rsid w:val="00385827"/>
    <w:rsid w:val="00385E7A"/>
    <w:rsid w:val="00386A77"/>
    <w:rsid w:val="00386B3B"/>
    <w:rsid w:val="00386FFC"/>
    <w:rsid w:val="003872A8"/>
    <w:rsid w:val="00387ADC"/>
    <w:rsid w:val="00387EF5"/>
    <w:rsid w:val="0039027C"/>
    <w:rsid w:val="0039030C"/>
    <w:rsid w:val="003906A3"/>
    <w:rsid w:val="003907C0"/>
    <w:rsid w:val="00390A55"/>
    <w:rsid w:val="003916E8"/>
    <w:rsid w:val="00391F3C"/>
    <w:rsid w:val="00391F87"/>
    <w:rsid w:val="00392149"/>
    <w:rsid w:val="0039226F"/>
    <w:rsid w:val="00392461"/>
    <w:rsid w:val="00392690"/>
    <w:rsid w:val="003926B0"/>
    <w:rsid w:val="00393365"/>
    <w:rsid w:val="0039363C"/>
    <w:rsid w:val="00393D4C"/>
    <w:rsid w:val="0039401F"/>
    <w:rsid w:val="00394B4B"/>
    <w:rsid w:val="00397EBC"/>
    <w:rsid w:val="00397F87"/>
    <w:rsid w:val="003A0AD3"/>
    <w:rsid w:val="003A0E16"/>
    <w:rsid w:val="003A185C"/>
    <w:rsid w:val="003A1B78"/>
    <w:rsid w:val="003A1C7C"/>
    <w:rsid w:val="003A1C83"/>
    <w:rsid w:val="003A1EC2"/>
    <w:rsid w:val="003A1FAF"/>
    <w:rsid w:val="003A24EE"/>
    <w:rsid w:val="003A2A46"/>
    <w:rsid w:val="003A2BEE"/>
    <w:rsid w:val="003A2C57"/>
    <w:rsid w:val="003A2F79"/>
    <w:rsid w:val="003A2FE5"/>
    <w:rsid w:val="003A4992"/>
    <w:rsid w:val="003A49C3"/>
    <w:rsid w:val="003A4F37"/>
    <w:rsid w:val="003A50FA"/>
    <w:rsid w:val="003A5467"/>
    <w:rsid w:val="003A581E"/>
    <w:rsid w:val="003A6060"/>
    <w:rsid w:val="003A67B4"/>
    <w:rsid w:val="003A797D"/>
    <w:rsid w:val="003A7BB1"/>
    <w:rsid w:val="003B03DB"/>
    <w:rsid w:val="003B03ED"/>
    <w:rsid w:val="003B080C"/>
    <w:rsid w:val="003B0A8E"/>
    <w:rsid w:val="003B0BC6"/>
    <w:rsid w:val="003B0C46"/>
    <w:rsid w:val="003B0CFE"/>
    <w:rsid w:val="003B0DDF"/>
    <w:rsid w:val="003B11BE"/>
    <w:rsid w:val="003B1310"/>
    <w:rsid w:val="003B1AF1"/>
    <w:rsid w:val="003B1B97"/>
    <w:rsid w:val="003B25FB"/>
    <w:rsid w:val="003B436D"/>
    <w:rsid w:val="003B45BC"/>
    <w:rsid w:val="003B49C5"/>
    <w:rsid w:val="003B500B"/>
    <w:rsid w:val="003B7173"/>
    <w:rsid w:val="003B76FC"/>
    <w:rsid w:val="003B7796"/>
    <w:rsid w:val="003B7B38"/>
    <w:rsid w:val="003B7F75"/>
    <w:rsid w:val="003B7FBB"/>
    <w:rsid w:val="003C0070"/>
    <w:rsid w:val="003C008F"/>
    <w:rsid w:val="003C0482"/>
    <w:rsid w:val="003C04FC"/>
    <w:rsid w:val="003C0B8A"/>
    <w:rsid w:val="003C1764"/>
    <w:rsid w:val="003C1D2A"/>
    <w:rsid w:val="003C2AF5"/>
    <w:rsid w:val="003C3097"/>
    <w:rsid w:val="003C30B4"/>
    <w:rsid w:val="003C4520"/>
    <w:rsid w:val="003C4616"/>
    <w:rsid w:val="003C4D5C"/>
    <w:rsid w:val="003C562D"/>
    <w:rsid w:val="003C5A63"/>
    <w:rsid w:val="003C610A"/>
    <w:rsid w:val="003C69FC"/>
    <w:rsid w:val="003C6BCA"/>
    <w:rsid w:val="003C6DB2"/>
    <w:rsid w:val="003C72E5"/>
    <w:rsid w:val="003C75B9"/>
    <w:rsid w:val="003C7AA9"/>
    <w:rsid w:val="003C7D73"/>
    <w:rsid w:val="003D0205"/>
    <w:rsid w:val="003D06E1"/>
    <w:rsid w:val="003D086A"/>
    <w:rsid w:val="003D1421"/>
    <w:rsid w:val="003D1587"/>
    <w:rsid w:val="003D238C"/>
    <w:rsid w:val="003D24F7"/>
    <w:rsid w:val="003D257D"/>
    <w:rsid w:val="003D2754"/>
    <w:rsid w:val="003D3259"/>
    <w:rsid w:val="003D35A5"/>
    <w:rsid w:val="003D38BA"/>
    <w:rsid w:val="003D5788"/>
    <w:rsid w:val="003D589D"/>
    <w:rsid w:val="003D67AC"/>
    <w:rsid w:val="003D68EA"/>
    <w:rsid w:val="003D6965"/>
    <w:rsid w:val="003D6DA3"/>
    <w:rsid w:val="003D6DAE"/>
    <w:rsid w:val="003E0184"/>
    <w:rsid w:val="003E0251"/>
    <w:rsid w:val="003E042B"/>
    <w:rsid w:val="003E044B"/>
    <w:rsid w:val="003E0721"/>
    <w:rsid w:val="003E0CD3"/>
    <w:rsid w:val="003E13FF"/>
    <w:rsid w:val="003E14E7"/>
    <w:rsid w:val="003E1719"/>
    <w:rsid w:val="003E18C4"/>
    <w:rsid w:val="003E1E30"/>
    <w:rsid w:val="003E1F08"/>
    <w:rsid w:val="003E2182"/>
    <w:rsid w:val="003E2824"/>
    <w:rsid w:val="003E333B"/>
    <w:rsid w:val="003E334E"/>
    <w:rsid w:val="003E36E5"/>
    <w:rsid w:val="003E37C7"/>
    <w:rsid w:val="003E3BF0"/>
    <w:rsid w:val="003E3EAB"/>
    <w:rsid w:val="003E4056"/>
    <w:rsid w:val="003E42A7"/>
    <w:rsid w:val="003E4507"/>
    <w:rsid w:val="003E4EE4"/>
    <w:rsid w:val="003E5576"/>
    <w:rsid w:val="003E5852"/>
    <w:rsid w:val="003E5EB4"/>
    <w:rsid w:val="003E6E09"/>
    <w:rsid w:val="003E6F20"/>
    <w:rsid w:val="003E718F"/>
    <w:rsid w:val="003E7C23"/>
    <w:rsid w:val="003E7D50"/>
    <w:rsid w:val="003E7F51"/>
    <w:rsid w:val="003F101A"/>
    <w:rsid w:val="003F1095"/>
    <w:rsid w:val="003F15CD"/>
    <w:rsid w:val="003F18F1"/>
    <w:rsid w:val="003F1B20"/>
    <w:rsid w:val="003F2112"/>
    <w:rsid w:val="003F248F"/>
    <w:rsid w:val="003F2962"/>
    <w:rsid w:val="003F2C0E"/>
    <w:rsid w:val="003F2E97"/>
    <w:rsid w:val="003F3171"/>
    <w:rsid w:val="003F31EC"/>
    <w:rsid w:val="003F37E9"/>
    <w:rsid w:val="003F382F"/>
    <w:rsid w:val="003F41E8"/>
    <w:rsid w:val="003F4877"/>
    <w:rsid w:val="003F48A1"/>
    <w:rsid w:val="003F4D4E"/>
    <w:rsid w:val="003F4EEC"/>
    <w:rsid w:val="003F4FE9"/>
    <w:rsid w:val="003F6082"/>
    <w:rsid w:val="003F6180"/>
    <w:rsid w:val="003F6452"/>
    <w:rsid w:val="003F66E1"/>
    <w:rsid w:val="003F6931"/>
    <w:rsid w:val="003F75BF"/>
    <w:rsid w:val="003F76B7"/>
    <w:rsid w:val="003F773F"/>
    <w:rsid w:val="003F7D6D"/>
    <w:rsid w:val="0040016B"/>
    <w:rsid w:val="004006D6"/>
    <w:rsid w:val="0040104C"/>
    <w:rsid w:val="0040138F"/>
    <w:rsid w:val="00401DB1"/>
    <w:rsid w:val="00402646"/>
    <w:rsid w:val="0040298C"/>
    <w:rsid w:val="00402A4C"/>
    <w:rsid w:val="00402C0A"/>
    <w:rsid w:val="004039CF"/>
    <w:rsid w:val="004042FD"/>
    <w:rsid w:val="004046A7"/>
    <w:rsid w:val="004048F3"/>
    <w:rsid w:val="00404F09"/>
    <w:rsid w:val="00405237"/>
    <w:rsid w:val="00405792"/>
    <w:rsid w:val="00405802"/>
    <w:rsid w:val="00405E07"/>
    <w:rsid w:val="00405F26"/>
    <w:rsid w:val="00406221"/>
    <w:rsid w:val="004066FB"/>
    <w:rsid w:val="00407458"/>
    <w:rsid w:val="004079D9"/>
    <w:rsid w:val="00410282"/>
    <w:rsid w:val="00410585"/>
    <w:rsid w:val="0041072B"/>
    <w:rsid w:val="00410764"/>
    <w:rsid w:val="00411C57"/>
    <w:rsid w:val="00411D78"/>
    <w:rsid w:val="0041223C"/>
    <w:rsid w:val="004126E0"/>
    <w:rsid w:val="00412E27"/>
    <w:rsid w:val="0041318B"/>
    <w:rsid w:val="004144B8"/>
    <w:rsid w:val="00414806"/>
    <w:rsid w:val="00414A8D"/>
    <w:rsid w:val="0041542E"/>
    <w:rsid w:val="004154BF"/>
    <w:rsid w:val="00415780"/>
    <w:rsid w:val="00415827"/>
    <w:rsid w:val="00415A77"/>
    <w:rsid w:val="00415A8A"/>
    <w:rsid w:val="00415D23"/>
    <w:rsid w:val="0041615B"/>
    <w:rsid w:val="00416645"/>
    <w:rsid w:val="00416796"/>
    <w:rsid w:val="004168C5"/>
    <w:rsid w:val="00416D78"/>
    <w:rsid w:val="0041745A"/>
    <w:rsid w:val="00417BC7"/>
    <w:rsid w:val="00417EEC"/>
    <w:rsid w:val="00417F24"/>
    <w:rsid w:val="0042078A"/>
    <w:rsid w:val="0042096D"/>
    <w:rsid w:val="00420E6D"/>
    <w:rsid w:val="00421C2B"/>
    <w:rsid w:val="00422CB8"/>
    <w:rsid w:val="004233B2"/>
    <w:rsid w:val="004235D5"/>
    <w:rsid w:val="004236FB"/>
    <w:rsid w:val="004237BE"/>
    <w:rsid w:val="00423B8C"/>
    <w:rsid w:val="00423FF8"/>
    <w:rsid w:val="00424232"/>
    <w:rsid w:val="00424370"/>
    <w:rsid w:val="00424BCC"/>
    <w:rsid w:val="00424F6A"/>
    <w:rsid w:val="00425774"/>
    <w:rsid w:val="00426F7E"/>
    <w:rsid w:val="00427129"/>
    <w:rsid w:val="0042715C"/>
    <w:rsid w:val="004301B1"/>
    <w:rsid w:val="00431368"/>
    <w:rsid w:val="00431ECD"/>
    <w:rsid w:val="00432121"/>
    <w:rsid w:val="004326BA"/>
    <w:rsid w:val="004333A6"/>
    <w:rsid w:val="004335BD"/>
    <w:rsid w:val="0043379F"/>
    <w:rsid w:val="004338B0"/>
    <w:rsid w:val="00433900"/>
    <w:rsid w:val="00433AD5"/>
    <w:rsid w:val="004346DA"/>
    <w:rsid w:val="004348CC"/>
    <w:rsid w:val="00434AED"/>
    <w:rsid w:val="00434EAA"/>
    <w:rsid w:val="00434F64"/>
    <w:rsid w:val="004350B4"/>
    <w:rsid w:val="0043575F"/>
    <w:rsid w:val="004363E7"/>
    <w:rsid w:val="004365E8"/>
    <w:rsid w:val="004372EA"/>
    <w:rsid w:val="004376E9"/>
    <w:rsid w:val="00437EE6"/>
    <w:rsid w:val="004400F3"/>
    <w:rsid w:val="004416DD"/>
    <w:rsid w:val="004419DD"/>
    <w:rsid w:val="00441A95"/>
    <w:rsid w:val="00441D12"/>
    <w:rsid w:val="004425B4"/>
    <w:rsid w:val="00443B08"/>
    <w:rsid w:val="00444CE5"/>
    <w:rsid w:val="00445AD1"/>
    <w:rsid w:val="00445C48"/>
    <w:rsid w:val="004460F3"/>
    <w:rsid w:val="004465A9"/>
    <w:rsid w:val="0044683C"/>
    <w:rsid w:val="00446E3D"/>
    <w:rsid w:val="00446F0E"/>
    <w:rsid w:val="00447A93"/>
    <w:rsid w:val="00447CE2"/>
    <w:rsid w:val="004502CC"/>
    <w:rsid w:val="00450FFB"/>
    <w:rsid w:val="004511E3"/>
    <w:rsid w:val="004513B9"/>
    <w:rsid w:val="004520ED"/>
    <w:rsid w:val="00452B43"/>
    <w:rsid w:val="00452D2E"/>
    <w:rsid w:val="00452E71"/>
    <w:rsid w:val="00453895"/>
    <w:rsid w:val="00453EBB"/>
    <w:rsid w:val="004542CB"/>
    <w:rsid w:val="0045480C"/>
    <w:rsid w:val="00454DE2"/>
    <w:rsid w:val="004555C5"/>
    <w:rsid w:val="004570EF"/>
    <w:rsid w:val="00457544"/>
    <w:rsid w:val="00457565"/>
    <w:rsid w:val="00457848"/>
    <w:rsid w:val="0046001F"/>
    <w:rsid w:val="0046063A"/>
    <w:rsid w:val="0046069B"/>
    <w:rsid w:val="004607F9"/>
    <w:rsid w:val="00460DA4"/>
    <w:rsid w:val="004612BE"/>
    <w:rsid w:val="00461382"/>
    <w:rsid w:val="00462514"/>
    <w:rsid w:val="004630FD"/>
    <w:rsid w:val="0046342A"/>
    <w:rsid w:val="00463E1B"/>
    <w:rsid w:val="00463E73"/>
    <w:rsid w:val="0046401C"/>
    <w:rsid w:val="00464999"/>
    <w:rsid w:val="004650EF"/>
    <w:rsid w:val="004651F5"/>
    <w:rsid w:val="004652D3"/>
    <w:rsid w:val="004659D7"/>
    <w:rsid w:val="00465AFA"/>
    <w:rsid w:val="00466797"/>
    <w:rsid w:val="004676E9"/>
    <w:rsid w:val="00467822"/>
    <w:rsid w:val="00467898"/>
    <w:rsid w:val="00467C6A"/>
    <w:rsid w:val="00470476"/>
    <w:rsid w:val="004706AA"/>
    <w:rsid w:val="00471219"/>
    <w:rsid w:val="004715EA"/>
    <w:rsid w:val="00471D65"/>
    <w:rsid w:val="004732E1"/>
    <w:rsid w:val="0047382F"/>
    <w:rsid w:val="00473907"/>
    <w:rsid w:val="00473C03"/>
    <w:rsid w:val="00474DB3"/>
    <w:rsid w:val="00475247"/>
    <w:rsid w:val="004753B8"/>
    <w:rsid w:val="00475BE1"/>
    <w:rsid w:val="00475D24"/>
    <w:rsid w:val="00475E55"/>
    <w:rsid w:val="004766D3"/>
    <w:rsid w:val="00476BBF"/>
    <w:rsid w:val="00477AEB"/>
    <w:rsid w:val="00477C21"/>
    <w:rsid w:val="00477C3F"/>
    <w:rsid w:val="00477CD4"/>
    <w:rsid w:val="00477DDF"/>
    <w:rsid w:val="0048084E"/>
    <w:rsid w:val="00480BD3"/>
    <w:rsid w:val="00480E1C"/>
    <w:rsid w:val="00480ED4"/>
    <w:rsid w:val="004810CA"/>
    <w:rsid w:val="00481B48"/>
    <w:rsid w:val="004824DF"/>
    <w:rsid w:val="00482737"/>
    <w:rsid w:val="00482E91"/>
    <w:rsid w:val="00483AD0"/>
    <w:rsid w:val="00484148"/>
    <w:rsid w:val="004845DF"/>
    <w:rsid w:val="0048462C"/>
    <w:rsid w:val="004846D2"/>
    <w:rsid w:val="00484950"/>
    <w:rsid w:val="00484FA5"/>
    <w:rsid w:val="004860C8"/>
    <w:rsid w:val="0048617F"/>
    <w:rsid w:val="004867AC"/>
    <w:rsid w:val="004867D8"/>
    <w:rsid w:val="00486A37"/>
    <w:rsid w:val="004874ED"/>
    <w:rsid w:val="0049006E"/>
    <w:rsid w:val="004910D6"/>
    <w:rsid w:val="00491996"/>
    <w:rsid w:val="00491CA5"/>
    <w:rsid w:val="00492206"/>
    <w:rsid w:val="00492569"/>
    <w:rsid w:val="00493347"/>
    <w:rsid w:val="00493825"/>
    <w:rsid w:val="004946A1"/>
    <w:rsid w:val="00495BE4"/>
    <w:rsid w:val="00495EE5"/>
    <w:rsid w:val="00496239"/>
    <w:rsid w:val="00496267"/>
    <w:rsid w:val="00496402"/>
    <w:rsid w:val="00496540"/>
    <w:rsid w:val="0049686F"/>
    <w:rsid w:val="00496F58"/>
    <w:rsid w:val="00497449"/>
    <w:rsid w:val="004A009F"/>
    <w:rsid w:val="004A02AA"/>
    <w:rsid w:val="004A03C9"/>
    <w:rsid w:val="004A09F6"/>
    <w:rsid w:val="004A1539"/>
    <w:rsid w:val="004A1991"/>
    <w:rsid w:val="004A1E1C"/>
    <w:rsid w:val="004A1F33"/>
    <w:rsid w:val="004A2693"/>
    <w:rsid w:val="004A2A11"/>
    <w:rsid w:val="004A2CC1"/>
    <w:rsid w:val="004A2E1E"/>
    <w:rsid w:val="004A3F21"/>
    <w:rsid w:val="004A42AC"/>
    <w:rsid w:val="004A44AE"/>
    <w:rsid w:val="004A46FA"/>
    <w:rsid w:val="004A478F"/>
    <w:rsid w:val="004A4B21"/>
    <w:rsid w:val="004A4C5E"/>
    <w:rsid w:val="004A4F90"/>
    <w:rsid w:val="004A5E5C"/>
    <w:rsid w:val="004A65D9"/>
    <w:rsid w:val="004A68DB"/>
    <w:rsid w:val="004A6E56"/>
    <w:rsid w:val="004A7286"/>
    <w:rsid w:val="004A7AB9"/>
    <w:rsid w:val="004A7C5E"/>
    <w:rsid w:val="004A7F49"/>
    <w:rsid w:val="004B0AB3"/>
    <w:rsid w:val="004B1083"/>
    <w:rsid w:val="004B1BB6"/>
    <w:rsid w:val="004B1C40"/>
    <w:rsid w:val="004B21D8"/>
    <w:rsid w:val="004B2282"/>
    <w:rsid w:val="004B2943"/>
    <w:rsid w:val="004B2C65"/>
    <w:rsid w:val="004B2CD8"/>
    <w:rsid w:val="004B3258"/>
    <w:rsid w:val="004B36C2"/>
    <w:rsid w:val="004B3765"/>
    <w:rsid w:val="004B39C1"/>
    <w:rsid w:val="004B3D77"/>
    <w:rsid w:val="004B46CA"/>
    <w:rsid w:val="004B475C"/>
    <w:rsid w:val="004B4B38"/>
    <w:rsid w:val="004B4DB8"/>
    <w:rsid w:val="004B6214"/>
    <w:rsid w:val="004B67D1"/>
    <w:rsid w:val="004B7182"/>
    <w:rsid w:val="004B74DD"/>
    <w:rsid w:val="004B77BE"/>
    <w:rsid w:val="004C0519"/>
    <w:rsid w:val="004C07D7"/>
    <w:rsid w:val="004C0F35"/>
    <w:rsid w:val="004C193F"/>
    <w:rsid w:val="004C1D16"/>
    <w:rsid w:val="004C1E29"/>
    <w:rsid w:val="004C2023"/>
    <w:rsid w:val="004C25EC"/>
    <w:rsid w:val="004C2C59"/>
    <w:rsid w:val="004C2D1E"/>
    <w:rsid w:val="004C329F"/>
    <w:rsid w:val="004C32E5"/>
    <w:rsid w:val="004C34B1"/>
    <w:rsid w:val="004C350A"/>
    <w:rsid w:val="004C35EC"/>
    <w:rsid w:val="004C4357"/>
    <w:rsid w:val="004C4359"/>
    <w:rsid w:val="004C43E3"/>
    <w:rsid w:val="004C4429"/>
    <w:rsid w:val="004C44FE"/>
    <w:rsid w:val="004C4656"/>
    <w:rsid w:val="004C4981"/>
    <w:rsid w:val="004C4E56"/>
    <w:rsid w:val="004C4E6D"/>
    <w:rsid w:val="004C50AB"/>
    <w:rsid w:val="004C5351"/>
    <w:rsid w:val="004C5697"/>
    <w:rsid w:val="004C5734"/>
    <w:rsid w:val="004C5B38"/>
    <w:rsid w:val="004C5E16"/>
    <w:rsid w:val="004C6935"/>
    <w:rsid w:val="004C6E98"/>
    <w:rsid w:val="004C6EA0"/>
    <w:rsid w:val="004C6EFC"/>
    <w:rsid w:val="004C71A2"/>
    <w:rsid w:val="004C7260"/>
    <w:rsid w:val="004C7316"/>
    <w:rsid w:val="004C7DF5"/>
    <w:rsid w:val="004C7FDD"/>
    <w:rsid w:val="004D04CC"/>
    <w:rsid w:val="004D067C"/>
    <w:rsid w:val="004D072B"/>
    <w:rsid w:val="004D07EA"/>
    <w:rsid w:val="004D0984"/>
    <w:rsid w:val="004D0CC6"/>
    <w:rsid w:val="004D1634"/>
    <w:rsid w:val="004D18C2"/>
    <w:rsid w:val="004D19E2"/>
    <w:rsid w:val="004D269F"/>
    <w:rsid w:val="004D27C4"/>
    <w:rsid w:val="004D2AC1"/>
    <w:rsid w:val="004D2C5E"/>
    <w:rsid w:val="004D3F8A"/>
    <w:rsid w:val="004D3FCF"/>
    <w:rsid w:val="004D42BE"/>
    <w:rsid w:val="004D44DC"/>
    <w:rsid w:val="004D470B"/>
    <w:rsid w:val="004D4765"/>
    <w:rsid w:val="004D4E3E"/>
    <w:rsid w:val="004D50D3"/>
    <w:rsid w:val="004D52FF"/>
    <w:rsid w:val="004D5837"/>
    <w:rsid w:val="004D58C5"/>
    <w:rsid w:val="004D63C6"/>
    <w:rsid w:val="004D688F"/>
    <w:rsid w:val="004D7742"/>
    <w:rsid w:val="004D7796"/>
    <w:rsid w:val="004D7F6E"/>
    <w:rsid w:val="004E03FE"/>
    <w:rsid w:val="004E1DDA"/>
    <w:rsid w:val="004E2027"/>
    <w:rsid w:val="004E23A9"/>
    <w:rsid w:val="004E23B9"/>
    <w:rsid w:val="004E32F8"/>
    <w:rsid w:val="004E33E6"/>
    <w:rsid w:val="004E3761"/>
    <w:rsid w:val="004E3802"/>
    <w:rsid w:val="004E39CA"/>
    <w:rsid w:val="004E3F09"/>
    <w:rsid w:val="004E4C3E"/>
    <w:rsid w:val="004E596D"/>
    <w:rsid w:val="004E6F31"/>
    <w:rsid w:val="004E70FA"/>
    <w:rsid w:val="004E7513"/>
    <w:rsid w:val="004F0179"/>
    <w:rsid w:val="004F0776"/>
    <w:rsid w:val="004F07B4"/>
    <w:rsid w:val="004F0A2E"/>
    <w:rsid w:val="004F0A50"/>
    <w:rsid w:val="004F0BBC"/>
    <w:rsid w:val="004F158C"/>
    <w:rsid w:val="004F159F"/>
    <w:rsid w:val="004F2179"/>
    <w:rsid w:val="004F2765"/>
    <w:rsid w:val="004F2D39"/>
    <w:rsid w:val="004F2E66"/>
    <w:rsid w:val="004F2EC7"/>
    <w:rsid w:val="004F31B6"/>
    <w:rsid w:val="004F3D7F"/>
    <w:rsid w:val="004F40CB"/>
    <w:rsid w:val="004F5A64"/>
    <w:rsid w:val="004F7453"/>
    <w:rsid w:val="004F76CB"/>
    <w:rsid w:val="0050022D"/>
    <w:rsid w:val="00500239"/>
    <w:rsid w:val="005003AB"/>
    <w:rsid w:val="00500FEB"/>
    <w:rsid w:val="00501669"/>
    <w:rsid w:val="005017A9"/>
    <w:rsid w:val="00501833"/>
    <w:rsid w:val="00501D1E"/>
    <w:rsid w:val="00502104"/>
    <w:rsid w:val="005025C0"/>
    <w:rsid w:val="00502D77"/>
    <w:rsid w:val="00502E35"/>
    <w:rsid w:val="0050301A"/>
    <w:rsid w:val="00503965"/>
    <w:rsid w:val="00503B38"/>
    <w:rsid w:val="00503E58"/>
    <w:rsid w:val="00503E9D"/>
    <w:rsid w:val="00503F0C"/>
    <w:rsid w:val="00504056"/>
    <w:rsid w:val="0050443E"/>
    <w:rsid w:val="005048EF"/>
    <w:rsid w:val="00504935"/>
    <w:rsid w:val="0050493A"/>
    <w:rsid w:val="00504D1A"/>
    <w:rsid w:val="00504EB8"/>
    <w:rsid w:val="00506243"/>
    <w:rsid w:val="00506740"/>
    <w:rsid w:val="00506AF4"/>
    <w:rsid w:val="00506D56"/>
    <w:rsid w:val="0050770B"/>
    <w:rsid w:val="00507BEA"/>
    <w:rsid w:val="0051007B"/>
    <w:rsid w:val="00510100"/>
    <w:rsid w:val="00510AB2"/>
    <w:rsid w:val="00510C06"/>
    <w:rsid w:val="00510FF3"/>
    <w:rsid w:val="00511A3F"/>
    <w:rsid w:val="00511CC7"/>
    <w:rsid w:val="005123B0"/>
    <w:rsid w:val="005123D1"/>
    <w:rsid w:val="005125C5"/>
    <w:rsid w:val="00512842"/>
    <w:rsid w:val="00512C46"/>
    <w:rsid w:val="0051327D"/>
    <w:rsid w:val="00513292"/>
    <w:rsid w:val="005133F8"/>
    <w:rsid w:val="005140B3"/>
    <w:rsid w:val="00514C99"/>
    <w:rsid w:val="00515E9D"/>
    <w:rsid w:val="005161E6"/>
    <w:rsid w:val="00516799"/>
    <w:rsid w:val="00516E39"/>
    <w:rsid w:val="005170DB"/>
    <w:rsid w:val="0051736C"/>
    <w:rsid w:val="00517424"/>
    <w:rsid w:val="0051783C"/>
    <w:rsid w:val="00520130"/>
    <w:rsid w:val="00520388"/>
    <w:rsid w:val="00520994"/>
    <w:rsid w:val="00520DE4"/>
    <w:rsid w:val="005212D1"/>
    <w:rsid w:val="00521398"/>
    <w:rsid w:val="005216F4"/>
    <w:rsid w:val="00521A71"/>
    <w:rsid w:val="00521C4C"/>
    <w:rsid w:val="005225C7"/>
    <w:rsid w:val="00522834"/>
    <w:rsid w:val="005230ED"/>
    <w:rsid w:val="0052353E"/>
    <w:rsid w:val="005236B0"/>
    <w:rsid w:val="005241CD"/>
    <w:rsid w:val="0052439F"/>
    <w:rsid w:val="00524C98"/>
    <w:rsid w:val="005254B6"/>
    <w:rsid w:val="00525807"/>
    <w:rsid w:val="00525E67"/>
    <w:rsid w:val="00525F94"/>
    <w:rsid w:val="00526CD8"/>
    <w:rsid w:val="00526EAD"/>
    <w:rsid w:val="00527552"/>
    <w:rsid w:val="00530019"/>
    <w:rsid w:val="00530813"/>
    <w:rsid w:val="00530C6C"/>
    <w:rsid w:val="00530C83"/>
    <w:rsid w:val="00531334"/>
    <w:rsid w:val="0053171E"/>
    <w:rsid w:val="00531800"/>
    <w:rsid w:val="00531CED"/>
    <w:rsid w:val="00531D80"/>
    <w:rsid w:val="0053214E"/>
    <w:rsid w:val="005322E0"/>
    <w:rsid w:val="0053246E"/>
    <w:rsid w:val="005324E4"/>
    <w:rsid w:val="005329CE"/>
    <w:rsid w:val="00532A14"/>
    <w:rsid w:val="00532FF1"/>
    <w:rsid w:val="0053374D"/>
    <w:rsid w:val="00533A96"/>
    <w:rsid w:val="00533E81"/>
    <w:rsid w:val="00534464"/>
    <w:rsid w:val="00534790"/>
    <w:rsid w:val="00534926"/>
    <w:rsid w:val="00534F19"/>
    <w:rsid w:val="00535343"/>
    <w:rsid w:val="005355C1"/>
    <w:rsid w:val="00535B0B"/>
    <w:rsid w:val="005360E0"/>
    <w:rsid w:val="005364A9"/>
    <w:rsid w:val="00536A36"/>
    <w:rsid w:val="005377B0"/>
    <w:rsid w:val="00537C18"/>
    <w:rsid w:val="005402D0"/>
    <w:rsid w:val="00540E4B"/>
    <w:rsid w:val="0054154B"/>
    <w:rsid w:val="0054169A"/>
    <w:rsid w:val="00541AC7"/>
    <w:rsid w:val="00541C33"/>
    <w:rsid w:val="00542477"/>
    <w:rsid w:val="005425D7"/>
    <w:rsid w:val="00542785"/>
    <w:rsid w:val="005429C0"/>
    <w:rsid w:val="005429D8"/>
    <w:rsid w:val="00543553"/>
    <w:rsid w:val="005436D0"/>
    <w:rsid w:val="00543A5B"/>
    <w:rsid w:val="005448F0"/>
    <w:rsid w:val="0054503F"/>
    <w:rsid w:val="00545082"/>
    <w:rsid w:val="00545145"/>
    <w:rsid w:val="00545325"/>
    <w:rsid w:val="005453AD"/>
    <w:rsid w:val="0054569C"/>
    <w:rsid w:val="00545DB7"/>
    <w:rsid w:val="005462E0"/>
    <w:rsid w:val="00546C28"/>
    <w:rsid w:val="00547001"/>
    <w:rsid w:val="00547251"/>
    <w:rsid w:val="005478AA"/>
    <w:rsid w:val="00550097"/>
    <w:rsid w:val="0055021D"/>
    <w:rsid w:val="00550481"/>
    <w:rsid w:val="00550683"/>
    <w:rsid w:val="00550D2C"/>
    <w:rsid w:val="005511C0"/>
    <w:rsid w:val="00552418"/>
    <w:rsid w:val="0055255E"/>
    <w:rsid w:val="005529E3"/>
    <w:rsid w:val="00553096"/>
    <w:rsid w:val="00553678"/>
    <w:rsid w:val="00553748"/>
    <w:rsid w:val="00553CC7"/>
    <w:rsid w:val="00553F34"/>
    <w:rsid w:val="005541CE"/>
    <w:rsid w:val="0055420D"/>
    <w:rsid w:val="0055448A"/>
    <w:rsid w:val="00554636"/>
    <w:rsid w:val="0055471E"/>
    <w:rsid w:val="00555A2D"/>
    <w:rsid w:val="00555DC1"/>
    <w:rsid w:val="00556516"/>
    <w:rsid w:val="005567A5"/>
    <w:rsid w:val="00560024"/>
    <w:rsid w:val="005600D3"/>
    <w:rsid w:val="00560806"/>
    <w:rsid w:val="00560AC2"/>
    <w:rsid w:val="00560BF9"/>
    <w:rsid w:val="00560C8B"/>
    <w:rsid w:val="00560F48"/>
    <w:rsid w:val="005615F8"/>
    <w:rsid w:val="0056185D"/>
    <w:rsid w:val="00561DE3"/>
    <w:rsid w:val="005623A4"/>
    <w:rsid w:val="00562419"/>
    <w:rsid w:val="00562825"/>
    <w:rsid w:val="00562CB9"/>
    <w:rsid w:val="005634D1"/>
    <w:rsid w:val="00563976"/>
    <w:rsid w:val="00563AFE"/>
    <w:rsid w:val="00563E7F"/>
    <w:rsid w:val="00564B1A"/>
    <w:rsid w:val="005651DF"/>
    <w:rsid w:val="0056536A"/>
    <w:rsid w:val="0056585D"/>
    <w:rsid w:val="00565F29"/>
    <w:rsid w:val="005667D3"/>
    <w:rsid w:val="005669E9"/>
    <w:rsid w:val="00567824"/>
    <w:rsid w:val="00567836"/>
    <w:rsid w:val="005678C8"/>
    <w:rsid w:val="005678C9"/>
    <w:rsid w:val="00567C2C"/>
    <w:rsid w:val="00567E87"/>
    <w:rsid w:val="00567EE8"/>
    <w:rsid w:val="0057014C"/>
    <w:rsid w:val="00570A05"/>
    <w:rsid w:val="0057137F"/>
    <w:rsid w:val="005713D9"/>
    <w:rsid w:val="005724AE"/>
    <w:rsid w:val="00573769"/>
    <w:rsid w:val="00573793"/>
    <w:rsid w:val="00573C7B"/>
    <w:rsid w:val="005742A7"/>
    <w:rsid w:val="00575276"/>
    <w:rsid w:val="005756D9"/>
    <w:rsid w:val="00576042"/>
    <w:rsid w:val="00576136"/>
    <w:rsid w:val="005770D8"/>
    <w:rsid w:val="0057741F"/>
    <w:rsid w:val="00577A29"/>
    <w:rsid w:val="00577B1C"/>
    <w:rsid w:val="00577B4E"/>
    <w:rsid w:val="00577EBF"/>
    <w:rsid w:val="00577F70"/>
    <w:rsid w:val="00580EB1"/>
    <w:rsid w:val="00581566"/>
    <w:rsid w:val="0058170B"/>
    <w:rsid w:val="00581CF2"/>
    <w:rsid w:val="00581D96"/>
    <w:rsid w:val="005828DE"/>
    <w:rsid w:val="00582938"/>
    <w:rsid w:val="00582A86"/>
    <w:rsid w:val="00582C3C"/>
    <w:rsid w:val="0058309C"/>
    <w:rsid w:val="00583495"/>
    <w:rsid w:val="0058456F"/>
    <w:rsid w:val="005851F3"/>
    <w:rsid w:val="005853E4"/>
    <w:rsid w:val="00585666"/>
    <w:rsid w:val="00586452"/>
    <w:rsid w:val="00586D56"/>
    <w:rsid w:val="00586D76"/>
    <w:rsid w:val="0058706F"/>
    <w:rsid w:val="0058721B"/>
    <w:rsid w:val="00587317"/>
    <w:rsid w:val="00590CD1"/>
    <w:rsid w:val="00591360"/>
    <w:rsid w:val="00591AAD"/>
    <w:rsid w:val="00591BEF"/>
    <w:rsid w:val="00591DFC"/>
    <w:rsid w:val="00592A5D"/>
    <w:rsid w:val="00592D2A"/>
    <w:rsid w:val="00592EE0"/>
    <w:rsid w:val="0059328A"/>
    <w:rsid w:val="0059373E"/>
    <w:rsid w:val="00594424"/>
    <w:rsid w:val="00594B87"/>
    <w:rsid w:val="00594EC0"/>
    <w:rsid w:val="00595175"/>
    <w:rsid w:val="0059545B"/>
    <w:rsid w:val="00596D16"/>
    <w:rsid w:val="00596D72"/>
    <w:rsid w:val="005A0E19"/>
    <w:rsid w:val="005A0FC7"/>
    <w:rsid w:val="005A14B6"/>
    <w:rsid w:val="005A18C6"/>
    <w:rsid w:val="005A1B89"/>
    <w:rsid w:val="005A224F"/>
    <w:rsid w:val="005A27B8"/>
    <w:rsid w:val="005A2940"/>
    <w:rsid w:val="005A3F5D"/>
    <w:rsid w:val="005A4121"/>
    <w:rsid w:val="005A433E"/>
    <w:rsid w:val="005A4358"/>
    <w:rsid w:val="005A44AC"/>
    <w:rsid w:val="005A5F79"/>
    <w:rsid w:val="005A66FA"/>
    <w:rsid w:val="005A7103"/>
    <w:rsid w:val="005A7372"/>
    <w:rsid w:val="005A79B9"/>
    <w:rsid w:val="005A7A1D"/>
    <w:rsid w:val="005B0CEE"/>
    <w:rsid w:val="005B10CF"/>
    <w:rsid w:val="005B1D19"/>
    <w:rsid w:val="005B214C"/>
    <w:rsid w:val="005B2527"/>
    <w:rsid w:val="005B328E"/>
    <w:rsid w:val="005B3509"/>
    <w:rsid w:val="005B3B01"/>
    <w:rsid w:val="005B4E15"/>
    <w:rsid w:val="005B583B"/>
    <w:rsid w:val="005B661A"/>
    <w:rsid w:val="005B6758"/>
    <w:rsid w:val="005B6852"/>
    <w:rsid w:val="005B6B94"/>
    <w:rsid w:val="005B72DA"/>
    <w:rsid w:val="005B7348"/>
    <w:rsid w:val="005B7385"/>
    <w:rsid w:val="005B79A8"/>
    <w:rsid w:val="005B7DF7"/>
    <w:rsid w:val="005B7E73"/>
    <w:rsid w:val="005B7EF7"/>
    <w:rsid w:val="005C003F"/>
    <w:rsid w:val="005C12E9"/>
    <w:rsid w:val="005C134D"/>
    <w:rsid w:val="005C14DC"/>
    <w:rsid w:val="005C183B"/>
    <w:rsid w:val="005C1E5C"/>
    <w:rsid w:val="005C2D29"/>
    <w:rsid w:val="005C326A"/>
    <w:rsid w:val="005C3552"/>
    <w:rsid w:val="005C386B"/>
    <w:rsid w:val="005C3EB0"/>
    <w:rsid w:val="005C45A0"/>
    <w:rsid w:val="005C4719"/>
    <w:rsid w:val="005C50B4"/>
    <w:rsid w:val="005C53C8"/>
    <w:rsid w:val="005C61C4"/>
    <w:rsid w:val="005C6209"/>
    <w:rsid w:val="005C6232"/>
    <w:rsid w:val="005C62AB"/>
    <w:rsid w:val="005C6739"/>
    <w:rsid w:val="005C6A97"/>
    <w:rsid w:val="005C6ABF"/>
    <w:rsid w:val="005C6CDD"/>
    <w:rsid w:val="005C7858"/>
    <w:rsid w:val="005C7960"/>
    <w:rsid w:val="005C79E2"/>
    <w:rsid w:val="005D03FC"/>
    <w:rsid w:val="005D082B"/>
    <w:rsid w:val="005D1102"/>
    <w:rsid w:val="005D146B"/>
    <w:rsid w:val="005D1CAE"/>
    <w:rsid w:val="005D25EE"/>
    <w:rsid w:val="005D2E94"/>
    <w:rsid w:val="005D32B9"/>
    <w:rsid w:val="005D3565"/>
    <w:rsid w:val="005D3C7D"/>
    <w:rsid w:val="005D409F"/>
    <w:rsid w:val="005D44A5"/>
    <w:rsid w:val="005D4C9D"/>
    <w:rsid w:val="005D4E15"/>
    <w:rsid w:val="005D50B8"/>
    <w:rsid w:val="005D50DE"/>
    <w:rsid w:val="005D5217"/>
    <w:rsid w:val="005D5811"/>
    <w:rsid w:val="005D6BB9"/>
    <w:rsid w:val="005D6DFF"/>
    <w:rsid w:val="005D6FBD"/>
    <w:rsid w:val="005D7212"/>
    <w:rsid w:val="005D72C0"/>
    <w:rsid w:val="005D74B8"/>
    <w:rsid w:val="005D7959"/>
    <w:rsid w:val="005E04D3"/>
    <w:rsid w:val="005E1071"/>
    <w:rsid w:val="005E135F"/>
    <w:rsid w:val="005E14C5"/>
    <w:rsid w:val="005E1AD4"/>
    <w:rsid w:val="005E216A"/>
    <w:rsid w:val="005E21ED"/>
    <w:rsid w:val="005E2417"/>
    <w:rsid w:val="005E2525"/>
    <w:rsid w:val="005E3267"/>
    <w:rsid w:val="005E3D57"/>
    <w:rsid w:val="005E424D"/>
    <w:rsid w:val="005E4901"/>
    <w:rsid w:val="005E49E5"/>
    <w:rsid w:val="005E4C6C"/>
    <w:rsid w:val="005E5510"/>
    <w:rsid w:val="005E63E0"/>
    <w:rsid w:val="005E6A58"/>
    <w:rsid w:val="005E74AA"/>
    <w:rsid w:val="005E7FB6"/>
    <w:rsid w:val="005F00E8"/>
    <w:rsid w:val="005F20ED"/>
    <w:rsid w:val="005F250C"/>
    <w:rsid w:val="005F265C"/>
    <w:rsid w:val="005F272D"/>
    <w:rsid w:val="005F276A"/>
    <w:rsid w:val="005F34DC"/>
    <w:rsid w:val="005F403C"/>
    <w:rsid w:val="005F472D"/>
    <w:rsid w:val="005F486C"/>
    <w:rsid w:val="005F4A05"/>
    <w:rsid w:val="005F515D"/>
    <w:rsid w:val="005F58F6"/>
    <w:rsid w:val="005F5E01"/>
    <w:rsid w:val="005F62D1"/>
    <w:rsid w:val="005F6310"/>
    <w:rsid w:val="005F6A04"/>
    <w:rsid w:val="005F7191"/>
    <w:rsid w:val="005F7296"/>
    <w:rsid w:val="005F7D1A"/>
    <w:rsid w:val="0060026A"/>
    <w:rsid w:val="006005B0"/>
    <w:rsid w:val="00600974"/>
    <w:rsid w:val="00600D49"/>
    <w:rsid w:val="00601AD4"/>
    <w:rsid w:val="00601EFD"/>
    <w:rsid w:val="006026B5"/>
    <w:rsid w:val="00602F06"/>
    <w:rsid w:val="00603836"/>
    <w:rsid w:val="00603A0D"/>
    <w:rsid w:val="00603F64"/>
    <w:rsid w:val="0060415E"/>
    <w:rsid w:val="00604420"/>
    <w:rsid w:val="006047C3"/>
    <w:rsid w:val="00604D8B"/>
    <w:rsid w:val="00604FFE"/>
    <w:rsid w:val="0060515D"/>
    <w:rsid w:val="0060572C"/>
    <w:rsid w:val="00605ADC"/>
    <w:rsid w:val="00605E01"/>
    <w:rsid w:val="006070E2"/>
    <w:rsid w:val="0060714A"/>
    <w:rsid w:val="00607223"/>
    <w:rsid w:val="00610392"/>
    <w:rsid w:val="00610963"/>
    <w:rsid w:val="0061141D"/>
    <w:rsid w:val="00611CE4"/>
    <w:rsid w:val="00611D6E"/>
    <w:rsid w:val="00612381"/>
    <w:rsid w:val="00612E4C"/>
    <w:rsid w:val="00613201"/>
    <w:rsid w:val="00613A13"/>
    <w:rsid w:val="006147E7"/>
    <w:rsid w:val="006148C0"/>
    <w:rsid w:val="00614BEE"/>
    <w:rsid w:val="0061506A"/>
    <w:rsid w:val="00615574"/>
    <w:rsid w:val="00615678"/>
    <w:rsid w:val="006156DE"/>
    <w:rsid w:val="006158B9"/>
    <w:rsid w:val="00615AC0"/>
    <w:rsid w:val="006164A2"/>
    <w:rsid w:val="00616E90"/>
    <w:rsid w:val="006178A6"/>
    <w:rsid w:val="00617FD3"/>
    <w:rsid w:val="006207BC"/>
    <w:rsid w:val="006209AF"/>
    <w:rsid w:val="00621166"/>
    <w:rsid w:val="00621C81"/>
    <w:rsid w:val="00621E03"/>
    <w:rsid w:val="00623207"/>
    <w:rsid w:val="006238C5"/>
    <w:rsid w:val="00623DB8"/>
    <w:rsid w:val="00623DFC"/>
    <w:rsid w:val="0062412C"/>
    <w:rsid w:val="006241F9"/>
    <w:rsid w:val="0062440C"/>
    <w:rsid w:val="0062472F"/>
    <w:rsid w:val="006247C0"/>
    <w:rsid w:val="00625048"/>
    <w:rsid w:val="0062510A"/>
    <w:rsid w:val="006257AA"/>
    <w:rsid w:val="00625839"/>
    <w:rsid w:val="00625D78"/>
    <w:rsid w:val="00626629"/>
    <w:rsid w:val="00626E36"/>
    <w:rsid w:val="00627173"/>
    <w:rsid w:val="00627474"/>
    <w:rsid w:val="0062752A"/>
    <w:rsid w:val="006275DD"/>
    <w:rsid w:val="00627B8B"/>
    <w:rsid w:val="00630E31"/>
    <w:rsid w:val="0063102B"/>
    <w:rsid w:val="0063105D"/>
    <w:rsid w:val="00631984"/>
    <w:rsid w:val="00632239"/>
    <w:rsid w:val="0063330A"/>
    <w:rsid w:val="00633834"/>
    <w:rsid w:val="0063391C"/>
    <w:rsid w:val="00633CBC"/>
    <w:rsid w:val="00633D90"/>
    <w:rsid w:val="00634746"/>
    <w:rsid w:val="006347A2"/>
    <w:rsid w:val="00634A5D"/>
    <w:rsid w:val="0063570F"/>
    <w:rsid w:val="00635711"/>
    <w:rsid w:val="00635ADF"/>
    <w:rsid w:val="006363D5"/>
    <w:rsid w:val="006363DA"/>
    <w:rsid w:val="00636ED5"/>
    <w:rsid w:val="006406AD"/>
    <w:rsid w:val="00640F05"/>
    <w:rsid w:val="006419DC"/>
    <w:rsid w:val="00641F5A"/>
    <w:rsid w:val="006421DF"/>
    <w:rsid w:val="00642337"/>
    <w:rsid w:val="006431FB"/>
    <w:rsid w:val="00643884"/>
    <w:rsid w:val="00643F6F"/>
    <w:rsid w:val="0064418E"/>
    <w:rsid w:val="00644F7F"/>
    <w:rsid w:val="0064538E"/>
    <w:rsid w:val="00645F55"/>
    <w:rsid w:val="00646A25"/>
    <w:rsid w:val="00646EA5"/>
    <w:rsid w:val="00647A5E"/>
    <w:rsid w:val="00647B67"/>
    <w:rsid w:val="00647C7F"/>
    <w:rsid w:val="00647E05"/>
    <w:rsid w:val="00647FE8"/>
    <w:rsid w:val="006505C2"/>
    <w:rsid w:val="006510E8"/>
    <w:rsid w:val="006515CB"/>
    <w:rsid w:val="00651C76"/>
    <w:rsid w:val="00651E25"/>
    <w:rsid w:val="00653024"/>
    <w:rsid w:val="006535B6"/>
    <w:rsid w:val="00653919"/>
    <w:rsid w:val="00653930"/>
    <w:rsid w:val="00653965"/>
    <w:rsid w:val="00653C96"/>
    <w:rsid w:val="00654157"/>
    <w:rsid w:val="00654555"/>
    <w:rsid w:val="00654915"/>
    <w:rsid w:val="00654D9A"/>
    <w:rsid w:val="00654EEE"/>
    <w:rsid w:val="00655BB8"/>
    <w:rsid w:val="00655F87"/>
    <w:rsid w:val="006562F3"/>
    <w:rsid w:val="00656573"/>
    <w:rsid w:val="00657025"/>
    <w:rsid w:val="00657393"/>
    <w:rsid w:val="00657409"/>
    <w:rsid w:val="00657568"/>
    <w:rsid w:val="00657ED4"/>
    <w:rsid w:val="006600B9"/>
    <w:rsid w:val="00660260"/>
    <w:rsid w:val="00660419"/>
    <w:rsid w:val="0066072D"/>
    <w:rsid w:val="00660FEB"/>
    <w:rsid w:val="00661381"/>
    <w:rsid w:val="0066164D"/>
    <w:rsid w:val="00661B4A"/>
    <w:rsid w:val="00661FEA"/>
    <w:rsid w:val="00662265"/>
    <w:rsid w:val="006624E0"/>
    <w:rsid w:val="00662D25"/>
    <w:rsid w:val="00662FB6"/>
    <w:rsid w:val="00663301"/>
    <w:rsid w:val="00663804"/>
    <w:rsid w:val="006639F8"/>
    <w:rsid w:val="00663BEB"/>
    <w:rsid w:val="00664193"/>
    <w:rsid w:val="006641B8"/>
    <w:rsid w:val="006643DF"/>
    <w:rsid w:val="00664C01"/>
    <w:rsid w:val="00664E12"/>
    <w:rsid w:val="00664F11"/>
    <w:rsid w:val="0066515C"/>
    <w:rsid w:val="006651D0"/>
    <w:rsid w:val="006653DB"/>
    <w:rsid w:val="0066573E"/>
    <w:rsid w:val="00665DE5"/>
    <w:rsid w:val="006664BC"/>
    <w:rsid w:val="006665F2"/>
    <w:rsid w:val="006669A7"/>
    <w:rsid w:val="00666FE8"/>
    <w:rsid w:val="006671DE"/>
    <w:rsid w:val="00667588"/>
    <w:rsid w:val="00667C2C"/>
    <w:rsid w:val="00667EA6"/>
    <w:rsid w:val="006702FE"/>
    <w:rsid w:val="00670387"/>
    <w:rsid w:val="00670AF3"/>
    <w:rsid w:val="00670B5E"/>
    <w:rsid w:val="0067199C"/>
    <w:rsid w:val="00671C63"/>
    <w:rsid w:val="00671FF3"/>
    <w:rsid w:val="006726D4"/>
    <w:rsid w:val="00672746"/>
    <w:rsid w:val="00672BF0"/>
    <w:rsid w:val="00672EBC"/>
    <w:rsid w:val="006733E5"/>
    <w:rsid w:val="006736C1"/>
    <w:rsid w:val="006743BA"/>
    <w:rsid w:val="006744E3"/>
    <w:rsid w:val="00674644"/>
    <w:rsid w:val="00674A18"/>
    <w:rsid w:val="0067528F"/>
    <w:rsid w:val="00675728"/>
    <w:rsid w:val="00675CC0"/>
    <w:rsid w:val="00675E44"/>
    <w:rsid w:val="0067619F"/>
    <w:rsid w:val="0067696C"/>
    <w:rsid w:val="00676A7B"/>
    <w:rsid w:val="00677784"/>
    <w:rsid w:val="00677917"/>
    <w:rsid w:val="0068018B"/>
    <w:rsid w:val="006806D0"/>
    <w:rsid w:val="00680B45"/>
    <w:rsid w:val="00680B97"/>
    <w:rsid w:val="00681A38"/>
    <w:rsid w:val="00681CF8"/>
    <w:rsid w:val="0068214C"/>
    <w:rsid w:val="00682F92"/>
    <w:rsid w:val="00683085"/>
    <w:rsid w:val="00683D28"/>
    <w:rsid w:val="006842BB"/>
    <w:rsid w:val="0068468C"/>
    <w:rsid w:val="00685208"/>
    <w:rsid w:val="0068522C"/>
    <w:rsid w:val="0068609C"/>
    <w:rsid w:val="006874D8"/>
    <w:rsid w:val="00687951"/>
    <w:rsid w:val="00687B29"/>
    <w:rsid w:val="00687B93"/>
    <w:rsid w:val="00687E01"/>
    <w:rsid w:val="00687F19"/>
    <w:rsid w:val="00690220"/>
    <w:rsid w:val="00690638"/>
    <w:rsid w:val="00690A5F"/>
    <w:rsid w:val="00690F04"/>
    <w:rsid w:val="00691098"/>
    <w:rsid w:val="006912ED"/>
    <w:rsid w:val="0069189C"/>
    <w:rsid w:val="006918FE"/>
    <w:rsid w:val="00691980"/>
    <w:rsid w:val="006923D6"/>
    <w:rsid w:val="006932B6"/>
    <w:rsid w:val="006933B2"/>
    <w:rsid w:val="00694402"/>
    <w:rsid w:val="0069481D"/>
    <w:rsid w:val="00694887"/>
    <w:rsid w:val="00694C91"/>
    <w:rsid w:val="006950FD"/>
    <w:rsid w:val="006957C4"/>
    <w:rsid w:val="00696109"/>
    <w:rsid w:val="00696684"/>
    <w:rsid w:val="006967E5"/>
    <w:rsid w:val="006969F6"/>
    <w:rsid w:val="00696B27"/>
    <w:rsid w:val="00697484"/>
    <w:rsid w:val="006A02CB"/>
    <w:rsid w:val="006A05F3"/>
    <w:rsid w:val="006A087B"/>
    <w:rsid w:val="006A0D9E"/>
    <w:rsid w:val="006A10D8"/>
    <w:rsid w:val="006A1449"/>
    <w:rsid w:val="006A1593"/>
    <w:rsid w:val="006A1797"/>
    <w:rsid w:val="006A1A0D"/>
    <w:rsid w:val="006A1EAF"/>
    <w:rsid w:val="006A1F92"/>
    <w:rsid w:val="006A20BD"/>
    <w:rsid w:val="006A2386"/>
    <w:rsid w:val="006A2403"/>
    <w:rsid w:val="006A25A4"/>
    <w:rsid w:val="006A298B"/>
    <w:rsid w:val="006A2FFC"/>
    <w:rsid w:val="006A3379"/>
    <w:rsid w:val="006A3701"/>
    <w:rsid w:val="006A39AF"/>
    <w:rsid w:val="006A3D83"/>
    <w:rsid w:val="006A4CCE"/>
    <w:rsid w:val="006A4F8E"/>
    <w:rsid w:val="006A5308"/>
    <w:rsid w:val="006A593C"/>
    <w:rsid w:val="006A59BA"/>
    <w:rsid w:val="006A59DA"/>
    <w:rsid w:val="006A5D0C"/>
    <w:rsid w:val="006A624D"/>
    <w:rsid w:val="006A67DF"/>
    <w:rsid w:val="006A68F3"/>
    <w:rsid w:val="006A6B2B"/>
    <w:rsid w:val="006A6CA2"/>
    <w:rsid w:val="006A7844"/>
    <w:rsid w:val="006A7F6F"/>
    <w:rsid w:val="006B0212"/>
    <w:rsid w:val="006B1C46"/>
    <w:rsid w:val="006B1E20"/>
    <w:rsid w:val="006B257B"/>
    <w:rsid w:val="006B2C55"/>
    <w:rsid w:val="006B32A5"/>
    <w:rsid w:val="006B38E7"/>
    <w:rsid w:val="006B404E"/>
    <w:rsid w:val="006B40AD"/>
    <w:rsid w:val="006B4382"/>
    <w:rsid w:val="006B522D"/>
    <w:rsid w:val="006B5339"/>
    <w:rsid w:val="006B5367"/>
    <w:rsid w:val="006B5455"/>
    <w:rsid w:val="006B59D4"/>
    <w:rsid w:val="006B63AA"/>
    <w:rsid w:val="006B66C8"/>
    <w:rsid w:val="006B6C14"/>
    <w:rsid w:val="006B71A8"/>
    <w:rsid w:val="006B7579"/>
    <w:rsid w:val="006B7DC9"/>
    <w:rsid w:val="006B7E61"/>
    <w:rsid w:val="006B7FD5"/>
    <w:rsid w:val="006B7FDD"/>
    <w:rsid w:val="006C0111"/>
    <w:rsid w:val="006C012F"/>
    <w:rsid w:val="006C0186"/>
    <w:rsid w:val="006C0577"/>
    <w:rsid w:val="006C0731"/>
    <w:rsid w:val="006C0807"/>
    <w:rsid w:val="006C119B"/>
    <w:rsid w:val="006C1C5F"/>
    <w:rsid w:val="006C1DF0"/>
    <w:rsid w:val="006C208C"/>
    <w:rsid w:val="006C30AC"/>
    <w:rsid w:val="006C3157"/>
    <w:rsid w:val="006C396F"/>
    <w:rsid w:val="006C4D66"/>
    <w:rsid w:val="006C5277"/>
    <w:rsid w:val="006C5387"/>
    <w:rsid w:val="006C54F9"/>
    <w:rsid w:val="006C59CD"/>
    <w:rsid w:val="006C60F4"/>
    <w:rsid w:val="006C6955"/>
    <w:rsid w:val="006C73EB"/>
    <w:rsid w:val="006C7B78"/>
    <w:rsid w:val="006C7C0C"/>
    <w:rsid w:val="006D0F5B"/>
    <w:rsid w:val="006D123A"/>
    <w:rsid w:val="006D2000"/>
    <w:rsid w:val="006D2689"/>
    <w:rsid w:val="006D29F4"/>
    <w:rsid w:val="006D311C"/>
    <w:rsid w:val="006D3D6F"/>
    <w:rsid w:val="006D3E65"/>
    <w:rsid w:val="006D412C"/>
    <w:rsid w:val="006D5A20"/>
    <w:rsid w:val="006D5A42"/>
    <w:rsid w:val="006D5FF4"/>
    <w:rsid w:val="006D6134"/>
    <w:rsid w:val="006D6190"/>
    <w:rsid w:val="006D64C7"/>
    <w:rsid w:val="006D6704"/>
    <w:rsid w:val="006D6C92"/>
    <w:rsid w:val="006D6D53"/>
    <w:rsid w:val="006D75AA"/>
    <w:rsid w:val="006D76C3"/>
    <w:rsid w:val="006D79C1"/>
    <w:rsid w:val="006D7ADA"/>
    <w:rsid w:val="006D7DF8"/>
    <w:rsid w:val="006D7FF8"/>
    <w:rsid w:val="006E0634"/>
    <w:rsid w:val="006E0EEE"/>
    <w:rsid w:val="006E17C0"/>
    <w:rsid w:val="006E188C"/>
    <w:rsid w:val="006E190E"/>
    <w:rsid w:val="006E23D3"/>
    <w:rsid w:val="006E2D7D"/>
    <w:rsid w:val="006E33B2"/>
    <w:rsid w:val="006E3A1F"/>
    <w:rsid w:val="006E3BA6"/>
    <w:rsid w:val="006E42CB"/>
    <w:rsid w:val="006E49ED"/>
    <w:rsid w:val="006E5612"/>
    <w:rsid w:val="006E592D"/>
    <w:rsid w:val="006E62A3"/>
    <w:rsid w:val="006E6620"/>
    <w:rsid w:val="006E7191"/>
    <w:rsid w:val="006E71A5"/>
    <w:rsid w:val="006E7719"/>
    <w:rsid w:val="006E7A58"/>
    <w:rsid w:val="006E7B1E"/>
    <w:rsid w:val="006E7D2F"/>
    <w:rsid w:val="006F106B"/>
    <w:rsid w:val="006F108F"/>
    <w:rsid w:val="006F150A"/>
    <w:rsid w:val="006F1BBF"/>
    <w:rsid w:val="006F2DED"/>
    <w:rsid w:val="006F302E"/>
    <w:rsid w:val="006F365D"/>
    <w:rsid w:val="006F3895"/>
    <w:rsid w:val="006F38BF"/>
    <w:rsid w:val="006F46C4"/>
    <w:rsid w:val="006F46FA"/>
    <w:rsid w:val="006F4A9F"/>
    <w:rsid w:val="006F4F0B"/>
    <w:rsid w:val="006F4FC7"/>
    <w:rsid w:val="006F5022"/>
    <w:rsid w:val="006F5EAD"/>
    <w:rsid w:val="006F611E"/>
    <w:rsid w:val="006F723E"/>
    <w:rsid w:val="006F74E4"/>
    <w:rsid w:val="006F7CD8"/>
    <w:rsid w:val="006F7F2B"/>
    <w:rsid w:val="00700E28"/>
    <w:rsid w:val="007022E1"/>
    <w:rsid w:val="0070230B"/>
    <w:rsid w:val="0070290A"/>
    <w:rsid w:val="0070320D"/>
    <w:rsid w:val="007033FB"/>
    <w:rsid w:val="007036A6"/>
    <w:rsid w:val="00704030"/>
    <w:rsid w:val="007040AD"/>
    <w:rsid w:val="00704153"/>
    <w:rsid w:val="007042C2"/>
    <w:rsid w:val="007044BF"/>
    <w:rsid w:val="007047BC"/>
    <w:rsid w:val="007049BE"/>
    <w:rsid w:val="00704A99"/>
    <w:rsid w:val="00704DEA"/>
    <w:rsid w:val="00704F7C"/>
    <w:rsid w:val="00705D76"/>
    <w:rsid w:val="0070607C"/>
    <w:rsid w:val="0070660A"/>
    <w:rsid w:val="00706680"/>
    <w:rsid w:val="00706B95"/>
    <w:rsid w:val="00706F32"/>
    <w:rsid w:val="00707B58"/>
    <w:rsid w:val="00707B88"/>
    <w:rsid w:val="00707EC6"/>
    <w:rsid w:val="00707F3F"/>
    <w:rsid w:val="00707F6C"/>
    <w:rsid w:val="0071013E"/>
    <w:rsid w:val="00710702"/>
    <w:rsid w:val="007107B7"/>
    <w:rsid w:val="00710E26"/>
    <w:rsid w:val="00710FB0"/>
    <w:rsid w:val="0071121C"/>
    <w:rsid w:val="007113B6"/>
    <w:rsid w:val="007114B6"/>
    <w:rsid w:val="00711A71"/>
    <w:rsid w:val="00711C04"/>
    <w:rsid w:val="00711FB6"/>
    <w:rsid w:val="00712681"/>
    <w:rsid w:val="00712829"/>
    <w:rsid w:val="007128DF"/>
    <w:rsid w:val="00712F3A"/>
    <w:rsid w:val="00713390"/>
    <w:rsid w:val="00713748"/>
    <w:rsid w:val="0071384F"/>
    <w:rsid w:val="00714039"/>
    <w:rsid w:val="00714353"/>
    <w:rsid w:val="00714448"/>
    <w:rsid w:val="007151E5"/>
    <w:rsid w:val="00716902"/>
    <w:rsid w:val="00717121"/>
    <w:rsid w:val="007175D3"/>
    <w:rsid w:val="00717AFA"/>
    <w:rsid w:val="00717D7C"/>
    <w:rsid w:val="00720042"/>
    <w:rsid w:val="007201DC"/>
    <w:rsid w:val="00720258"/>
    <w:rsid w:val="00720655"/>
    <w:rsid w:val="00720B65"/>
    <w:rsid w:val="00720BA7"/>
    <w:rsid w:val="00720DCF"/>
    <w:rsid w:val="007212EA"/>
    <w:rsid w:val="00722350"/>
    <w:rsid w:val="00722CF8"/>
    <w:rsid w:val="00723080"/>
    <w:rsid w:val="00723224"/>
    <w:rsid w:val="00723285"/>
    <w:rsid w:val="0072329B"/>
    <w:rsid w:val="007238C0"/>
    <w:rsid w:val="00723CDC"/>
    <w:rsid w:val="007250C8"/>
    <w:rsid w:val="0072525F"/>
    <w:rsid w:val="0072580D"/>
    <w:rsid w:val="00725D4E"/>
    <w:rsid w:val="00725FF8"/>
    <w:rsid w:val="007272AF"/>
    <w:rsid w:val="007277E1"/>
    <w:rsid w:val="00727812"/>
    <w:rsid w:val="0072790F"/>
    <w:rsid w:val="00730460"/>
    <w:rsid w:val="007307A3"/>
    <w:rsid w:val="00731244"/>
    <w:rsid w:val="00731AE4"/>
    <w:rsid w:val="00731CBA"/>
    <w:rsid w:val="007325B8"/>
    <w:rsid w:val="0073264B"/>
    <w:rsid w:val="00732771"/>
    <w:rsid w:val="007333C0"/>
    <w:rsid w:val="007336E8"/>
    <w:rsid w:val="00734626"/>
    <w:rsid w:val="007349FD"/>
    <w:rsid w:val="00736845"/>
    <w:rsid w:val="00737A25"/>
    <w:rsid w:val="00737C5E"/>
    <w:rsid w:val="007402C7"/>
    <w:rsid w:val="00740E95"/>
    <w:rsid w:val="007412E0"/>
    <w:rsid w:val="0074153F"/>
    <w:rsid w:val="00741B79"/>
    <w:rsid w:val="00741CF9"/>
    <w:rsid w:val="00742328"/>
    <w:rsid w:val="0074247D"/>
    <w:rsid w:val="007425D6"/>
    <w:rsid w:val="00742777"/>
    <w:rsid w:val="00742A15"/>
    <w:rsid w:val="00743AB1"/>
    <w:rsid w:val="00743D51"/>
    <w:rsid w:val="00744A8B"/>
    <w:rsid w:val="0074550E"/>
    <w:rsid w:val="00745A48"/>
    <w:rsid w:val="00745C40"/>
    <w:rsid w:val="00745ED4"/>
    <w:rsid w:val="007460B4"/>
    <w:rsid w:val="00747549"/>
    <w:rsid w:val="00747996"/>
    <w:rsid w:val="00747F0D"/>
    <w:rsid w:val="0075047D"/>
    <w:rsid w:val="00751017"/>
    <w:rsid w:val="00751B48"/>
    <w:rsid w:val="00751FA7"/>
    <w:rsid w:val="0075205F"/>
    <w:rsid w:val="00752498"/>
    <w:rsid w:val="00752B31"/>
    <w:rsid w:val="00752D90"/>
    <w:rsid w:val="00752E08"/>
    <w:rsid w:val="00753130"/>
    <w:rsid w:val="00753501"/>
    <w:rsid w:val="007535AE"/>
    <w:rsid w:val="0075403A"/>
    <w:rsid w:val="007540F2"/>
    <w:rsid w:val="00754828"/>
    <w:rsid w:val="00754F7F"/>
    <w:rsid w:val="00755631"/>
    <w:rsid w:val="00757146"/>
    <w:rsid w:val="0075760B"/>
    <w:rsid w:val="007576C7"/>
    <w:rsid w:val="00757D8F"/>
    <w:rsid w:val="00757DCD"/>
    <w:rsid w:val="00757E4F"/>
    <w:rsid w:val="00760288"/>
    <w:rsid w:val="00760490"/>
    <w:rsid w:val="00760ECE"/>
    <w:rsid w:val="00761014"/>
    <w:rsid w:val="007618D8"/>
    <w:rsid w:val="0076208F"/>
    <w:rsid w:val="007625DB"/>
    <w:rsid w:val="00762725"/>
    <w:rsid w:val="00762EF7"/>
    <w:rsid w:val="00762F07"/>
    <w:rsid w:val="00763B28"/>
    <w:rsid w:val="0076430C"/>
    <w:rsid w:val="007645A0"/>
    <w:rsid w:val="00764A1D"/>
    <w:rsid w:val="00764DD4"/>
    <w:rsid w:val="007650B4"/>
    <w:rsid w:val="0076535E"/>
    <w:rsid w:val="00765824"/>
    <w:rsid w:val="00765AD5"/>
    <w:rsid w:val="007666F9"/>
    <w:rsid w:val="00766F93"/>
    <w:rsid w:val="00767D4E"/>
    <w:rsid w:val="00770448"/>
    <w:rsid w:val="007704C6"/>
    <w:rsid w:val="00770543"/>
    <w:rsid w:val="007709DA"/>
    <w:rsid w:val="00770ABF"/>
    <w:rsid w:val="00770BAD"/>
    <w:rsid w:val="00770EEA"/>
    <w:rsid w:val="00771011"/>
    <w:rsid w:val="00771365"/>
    <w:rsid w:val="00771B2F"/>
    <w:rsid w:val="00772E42"/>
    <w:rsid w:val="00772F22"/>
    <w:rsid w:val="00772F8D"/>
    <w:rsid w:val="00773132"/>
    <w:rsid w:val="0077349C"/>
    <w:rsid w:val="00773831"/>
    <w:rsid w:val="007738E5"/>
    <w:rsid w:val="00773B65"/>
    <w:rsid w:val="00774512"/>
    <w:rsid w:val="00774B68"/>
    <w:rsid w:val="00774D7C"/>
    <w:rsid w:val="00775C80"/>
    <w:rsid w:val="007760FC"/>
    <w:rsid w:val="0077704E"/>
    <w:rsid w:val="007802E2"/>
    <w:rsid w:val="00780CF2"/>
    <w:rsid w:val="007813CF"/>
    <w:rsid w:val="00782339"/>
    <w:rsid w:val="007829B7"/>
    <w:rsid w:val="007834F7"/>
    <w:rsid w:val="00783E83"/>
    <w:rsid w:val="00784404"/>
    <w:rsid w:val="0078440F"/>
    <w:rsid w:val="0078497E"/>
    <w:rsid w:val="00784B14"/>
    <w:rsid w:val="00784F2C"/>
    <w:rsid w:val="00784F56"/>
    <w:rsid w:val="007850DF"/>
    <w:rsid w:val="00785674"/>
    <w:rsid w:val="00785690"/>
    <w:rsid w:val="0078692E"/>
    <w:rsid w:val="00787155"/>
    <w:rsid w:val="007876E1"/>
    <w:rsid w:val="0079026A"/>
    <w:rsid w:val="00790432"/>
    <w:rsid w:val="00790494"/>
    <w:rsid w:val="00790808"/>
    <w:rsid w:val="00790A3E"/>
    <w:rsid w:val="00790AE0"/>
    <w:rsid w:val="00790FA5"/>
    <w:rsid w:val="007921EC"/>
    <w:rsid w:val="007936DC"/>
    <w:rsid w:val="00794812"/>
    <w:rsid w:val="00794AFE"/>
    <w:rsid w:val="00794CA3"/>
    <w:rsid w:val="00794CEF"/>
    <w:rsid w:val="0079511E"/>
    <w:rsid w:val="00796495"/>
    <w:rsid w:val="00796EC9"/>
    <w:rsid w:val="007974FA"/>
    <w:rsid w:val="0079757D"/>
    <w:rsid w:val="00797995"/>
    <w:rsid w:val="00797D53"/>
    <w:rsid w:val="007A0212"/>
    <w:rsid w:val="007A034C"/>
    <w:rsid w:val="007A09A8"/>
    <w:rsid w:val="007A0AC9"/>
    <w:rsid w:val="007A0C12"/>
    <w:rsid w:val="007A10C2"/>
    <w:rsid w:val="007A1104"/>
    <w:rsid w:val="007A165C"/>
    <w:rsid w:val="007A1A75"/>
    <w:rsid w:val="007A1D54"/>
    <w:rsid w:val="007A2E94"/>
    <w:rsid w:val="007A3167"/>
    <w:rsid w:val="007A3275"/>
    <w:rsid w:val="007A38B9"/>
    <w:rsid w:val="007A3A13"/>
    <w:rsid w:val="007A3BF5"/>
    <w:rsid w:val="007A3CEB"/>
    <w:rsid w:val="007A413D"/>
    <w:rsid w:val="007A427A"/>
    <w:rsid w:val="007A4656"/>
    <w:rsid w:val="007A4A3B"/>
    <w:rsid w:val="007A4C4A"/>
    <w:rsid w:val="007A4D9D"/>
    <w:rsid w:val="007A59E3"/>
    <w:rsid w:val="007A5F4C"/>
    <w:rsid w:val="007A6174"/>
    <w:rsid w:val="007A634A"/>
    <w:rsid w:val="007A63B5"/>
    <w:rsid w:val="007A6406"/>
    <w:rsid w:val="007A65E9"/>
    <w:rsid w:val="007A6926"/>
    <w:rsid w:val="007A6A9E"/>
    <w:rsid w:val="007A6C84"/>
    <w:rsid w:val="007A77C0"/>
    <w:rsid w:val="007A7B18"/>
    <w:rsid w:val="007B0399"/>
    <w:rsid w:val="007B0900"/>
    <w:rsid w:val="007B0B93"/>
    <w:rsid w:val="007B0BAD"/>
    <w:rsid w:val="007B0E5F"/>
    <w:rsid w:val="007B13C7"/>
    <w:rsid w:val="007B13EC"/>
    <w:rsid w:val="007B1C65"/>
    <w:rsid w:val="007B233C"/>
    <w:rsid w:val="007B435C"/>
    <w:rsid w:val="007B452D"/>
    <w:rsid w:val="007B462B"/>
    <w:rsid w:val="007B48AE"/>
    <w:rsid w:val="007B6C2D"/>
    <w:rsid w:val="007B7175"/>
    <w:rsid w:val="007B71C0"/>
    <w:rsid w:val="007B7F67"/>
    <w:rsid w:val="007C0011"/>
    <w:rsid w:val="007C0309"/>
    <w:rsid w:val="007C0AE1"/>
    <w:rsid w:val="007C0C6B"/>
    <w:rsid w:val="007C154A"/>
    <w:rsid w:val="007C1842"/>
    <w:rsid w:val="007C1EFC"/>
    <w:rsid w:val="007C21C5"/>
    <w:rsid w:val="007C24AA"/>
    <w:rsid w:val="007C2851"/>
    <w:rsid w:val="007C2CD3"/>
    <w:rsid w:val="007C2E4D"/>
    <w:rsid w:val="007C3177"/>
    <w:rsid w:val="007C386B"/>
    <w:rsid w:val="007C38EE"/>
    <w:rsid w:val="007C4090"/>
    <w:rsid w:val="007C460F"/>
    <w:rsid w:val="007C65CD"/>
    <w:rsid w:val="007C66AF"/>
    <w:rsid w:val="007C71D9"/>
    <w:rsid w:val="007C77DE"/>
    <w:rsid w:val="007C7D63"/>
    <w:rsid w:val="007D0D07"/>
    <w:rsid w:val="007D0DFB"/>
    <w:rsid w:val="007D1746"/>
    <w:rsid w:val="007D1ACD"/>
    <w:rsid w:val="007D1E14"/>
    <w:rsid w:val="007D2649"/>
    <w:rsid w:val="007D3BD3"/>
    <w:rsid w:val="007D4838"/>
    <w:rsid w:val="007D4F2E"/>
    <w:rsid w:val="007D516E"/>
    <w:rsid w:val="007D5C8F"/>
    <w:rsid w:val="007D658D"/>
    <w:rsid w:val="007D6896"/>
    <w:rsid w:val="007D6994"/>
    <w:rsid w:val="007D6AD9"/>
    <w:rsid w:val="007D79B9"/>
    <w:rsid w:val="007D7FB5"/>
    <w:rsid w:val="007E0419"/>
    <w:rsid w:val="007E04C9"/>
    <w:rsid w:val="007E095D"/>
    <w:rsid w:val="007E15CA"/>
    <w:rsid w:val="007E170A"/>
    <w:rsid w:val="007E1ADA"/>
    <w:rsid w:val="007E2BC5"/>
    <w:rsid w:val="007E2E81"/>
    <w:rsid w:val="007E3271"/>
    <w:rsid w:val="007E3C04"/>
    <w:rsid w:val="007E3E2A"/>
    <w:rsid w:val="007E4384"/>
    <w:rsid w:val="007E467B"/>
    <w:rsid w:val="007E46B6"/>
    <w:rsid w:val="007E4E45"/>
    <w:rsid w:val="007E5197"/>
    <w:rsid w:val="007E52F3"/>
    <w:rsid w:val="007E5646"/>
    <w:rsid w:val="007E61C8"/>
    <w:rsid w:val="007E62E8"/>
    <w:rsid w:val="007E63BF"/>
    <w:rsid w:val="007E66ED"/>
    <w:rsid w:val="007E70F8"/>
    <w:rsid w:val="007F017A"/>
    <w:rsid w:val="007F05B0"/>
    <w:rsid w:val="007F05BC"/>
    <w:rsid w:val="007F0ACA"/>
    <w:rsid w:val="007F1B90"/>
    <w:rsid w:val="007F1BB6"/>
    <w:rsid w:val="007F1C43"/>
    <w:rsid w:val="007F1DC9"/>
    <w:rsid w:val="007F21FB"/>
    <w:rsid w:val="007F26A0"/>
    <w:rsid w:val="007F2859"/>
    <w:rsid w:val="007F2D2B"/>
    <w:rsid w:val="007F2FA8"/>
    <w:rsid w:val="007F301F"/>
    <w:rsid w:val="007F3C5C"/>
    <w:rsid w:val="007F5657"/>
    <w:rsid w:val="007F572F"/>
    <w:rsid w:val="007F57A9"/>
    <w:rsid w:val="007F5828"/>
    <w:rsid w:val="007F5DA7"/>
    <w:rsid w:val="007F5F6B"/>
    <w:rsid w:val="007F60C9"/>
    <w:rsid w:val="007F6550"/>
    <w:rsid w:val="007F7081"/>
    <w:rsid w:val="007F7256"/>
    <w:rsid w:val="007F7857"/>
    <w:rsid w:val="00800178"/>
    <w:rsid w:val="00800743"/>
    <w:rsid w:val="008009FB"/>
    <w:rsid w:val="008011CA"/>
    <w:rsid w:val="00802115"/>
    <w:rsid w:val="008023AD"/>
    <w:rsid w:val="0080246D"/>
    <w:rsid w:val="0080297F"/>
    <w:rsid w:val="00802E82"/>
    <w:rsid w:val="008039A7"/>
    <w:rsid w:val="00803E71"/>
    <w:rsid w:val="0080443A"/>
    <w:rsid w:val="008050D4"/>
    <w:rsid w:val="00805193"/>
    <w:rsid w:val="00805376"/>
    <w:rsid w:val="00805E6B"/>
    <w:rsid w:val="00806B48"/>
    <w:rsid w:val="00806B79"/>
    <w:rsid w:val="00806FAB"/>
    <w:rsid w:val="008070F9"/>
    <w:rsid w:val="00807409"/>
    <w:rsid w:val="00807532"/>
    <w:rsid w:val="00807C05"/>
    <w:rsid w:val="00810142"/>
    <w:rsid w:val="008104C2"/>
    <w:rsid w:val="008105F1"/>
    <w:rsid w:val="008109FF"/>
    <w:rsid w:val="00810A3A"/>
    <w:rsid w:val="00810A43"/>
    <w:rsid w:val="00810D7D"/>
    <w:rsid w:val="0081149E"/>
    <w:rsid w:val="0081255C"/>
    <w:rsid w:val="008129F8"/>
    <w:rsid w:val="0081385E"/>
    <w:rsid w:val="008139AE"/>
    <w:rsid w:val="00813D72"/>
    <w:rsid w:val="00814123"/>
    <w:rsid w:val="008142DE"/>
    <w:rsid w:val="00814482"/>
    <w:rsid w:val="008144F4"/>
    <w:rsid w:val="00814939"/>
    <w:rsid w:val="00814940"/>
    <w:rsid w:val="00815814"/>
    <w:rsid w:val="00815A3A"/>
    <w:rsid w:val="008160AA"/>
    <w:rsid w:val="0081713C"/>
    <w:rsid w:val="00817926"/>
    <w:rsid w:val="00817A3E"/>
    <w:rsid w:val="00817CE9"/>
    <w:rsid w:val="00820043"/>
    <w:rsid w:val="0082015A"/>
    <w:rsid w:val="008203AC"/>
    <w:rsid w:val="00820485"/>
    <w:rsid w:val="0082098C"/>
    <w:rsid w:val="00820C87"/>
    <w:rsid w:val="00821D6A"/>
    <w:rsid w:val="00822B88"/>
    <w:rsid w:val="0082336A"/>
    <w:rsid w:val="008237D2"/>
    <w:rsid w:val="00823BD1"/>
    <w:rsid w:val="008240EF"/>
    <w:rsid w:val="008248B1"/>
    <w:rsid w:val="00824A60"/>
    <w:rsid w:val="00826543"/>
    <w:rsid w:val="008270C9"/>
    <w:rsid w:val="00827420"/>
    <w:rsid w:val="00827500"/>
    <w:rsid w:val="00827890"/>
    <w:rsid w:val="00827C4C"/>
    <w:rsid w:val="00827D38"/>
    <w:rsid w:val="00830D77"/>
    <w:rsid w:val="00831610"/>
    <w:rsid w:val="00832557"/>
    <w:rsid w:val="0083401D"/>
    <w:rsid w:val="00834126"/>
    <w:rsid w:val="00834226"/>
    <w:rsid w:val="00834839"/>
    <w:rsid w:val="00834A08"/>
    <w:rsid w:val="00835338"/>
    <w:rsid w:val="00835E22"/>
    <w:rsid w:val="008364CD"/>
    <w:rsid w:val="0083660F"/>
    <w:rsid w:val="00836A78"/>
    <w:rsid w:val="0083757B"/>
    <w:rsid w:val="00837CF8"/>
    <w:rsid w:val="00840530"/>
    <w:rsid w:val="00840532"/>
    <w:rsid w:val="00840D4F"/>
    <w:rsid w:val="00840EAF"/>
    <w:rsid w:val="0084102B"/>
    <w:rsid w:val="008411AD"/>
    <w:rsid w:val="008415D7"/>
    <w:rsid w:val="0084160B"/>
    <w:rsid w:val="00841666"/>
    <w:rsid w:val="00841D60"/>
    <w:rsid w:val="00842134"/>
    <w:rsid w:val="00842394"/>
    <w:rsid w:val="00842B81"/>
    <w:rsid w:val="00842D2A"/>
    <w:rsid w:val="00843508"/>
    <w:rsid w:val="008437F4"/>
    <w:rsid w:val="00843A9D"/>
    <w:rsid w:val="008441AF"/>
    <w:rsid w:val="0084479C"/>
    <w:rsid w:val="00844DE2"/>
    <w:rsid w:val="00844F55"/>
    <w:rsid w:val="008452CB"/>
    <w:rsid w:val="0084548E"/>
    <w:rsid w:val="00845685"/>
    <w:rsid w:val="008467AA"/>
    <w:rsid w:val="0084693E"/>
    <w:rsid w:val="008477BC"/>
    <w:rsid w:val="00847913"/>
    <w:rsid w:val="00850492"/>
    <w:rsid w:val="00851032"/>
    <w:rsid w:val="00851504"/>
    <w:rsid w:val="008523CF"/>
    <w:rsid w:val="00853182"/>
    <w:rsid w:val="008533FF"/>
    <w:rsid w:val="00853ECF"/>
    <w:rsid w:val="0085439C"/>
    <w:rsid w:val="008549C2"/>
    <w:rsid w:val="00854AD1"/>
    <w:rsid w:val="00854E53"/>
    <w:rsid w:val="0085543E"/>
    <w:rsid w:val="00855771"/>
    <w:rsid w:val="0085578B"/>
    <w:rsid w:val="00855CB4"/>
    <w:rsid w:val="00855D76"/>
    <w:rsid w:val="00856DE1"/>
    <w:rsid w:val="00856EEC"/>
    <w:rsid w:val="00857202"/>
    <w:rsid w:val="0085763D"/>
    <w:rsid w:val="008579B9"/>
    <w:rsid w:val="00857C72"/>
    <w:rsid w:val="0086055E"/>
    <w:rsid w:val="00860637"/>
    <w:rsid w:val="00860E4D"/>
    <w:rsid w:val="00861337"/>
    <w:rsid w:val="00861906"/>
    <w:rsid w:val="00861D5C"/>
    <w:rsid w:val="00862217"/>
    <w:rsid w:val="00862F82"/>
    <w:rsid w:val="00863252"/>
    <w:rsid w:val="008633F6"/>
    <w:rsid w:val="0086434B"/>
    <w:rsid w:val="00864415"/>
    <w:rsid w:val="008646F4"/>
    <w:rsid w:val="00864DBC"/>
    <w:rsid w:val="00864EE5"/>
    <w:rsid w:val="0086594A"/>
    <w:rsid w:val="00865A02"/>
    <w:rsid w:val="00865EE8"/>
    <w:rsid w:val="008676F6"/>
    <w:rsid w:val="00870753"/>
    <w:rsid w:val="00870BED"/>
    <w:rsid w:val="0087197E"/>
    <w:rsid w:val="00871C18"/>
    <w:rsid w:val="00872B76"/>
    <w:rsid w:val="00873FFC"/>
    <w:rsid w:val="008742D4"/>
    <w:rsid w:val="0087433F"/>
    <w:rsid w:val="008748C4"/>
    <w:rsid w:val="00874A7F"/>
    <w:rsid w:val="00875B10"/>
    <w:rsid w:val="00875FB0"/>
    <w:rsid w:val="008761B1"/>
    <w:rsid w:val="00876C34"/>
    <w:rsid w:val="00877328"/>
    <w:rsid w:val="00877621"/>
    <w:rsid w:val="00880122"/>
    <w:rsid w:val="008803DB"/>
    <w:rsid w:val="0088059E"/>
    <w:rsid w:val="008805E4"/>
    <w:rsid w:val="00880A20"/>
    <w:rsid w:val="00881014"/>
    <w:rsid w:val="0088132C"/>
    <w:rsid w:val="00881613"/>
    <w:rsid w:val="008819D7"/>
    <w:rsid w:val="00881CE8"/>
    <w:rsid w:val="008821CD"/>
    <w:rsid w:val="00882328"/>
    <w:rsid w:val="0088255E"/>
    <w:rsid w:val="00882B67"/>
    <w:rsid w:val="0088317C"/>
    <w:rsid w:val="00883B30"/>
    <w:rsid w:val="00884217"/>
    <w:rsid w:val="00884BA6"/>
    <w:rsid w:val="00885269"/>
    <w:rsid w:val="008855C7"/>
    <w:rsid w:val="008859BE"/>
    <w:rsid w:val="00885BAD"/>
    <w:rsid w:val="0088620A"/>
    <w:rsid w:val="0088645D"/>
    <w:rsid w:val="008868ED"/>
    <w:rsid w:val="00886A7E"/>
    <w:rsid w:val="00886AC4"/>
    <w:rsid w:val="00886DAC"/>
    <w:rsid w:val="00891286"/>
    <w:rsid w:val="0089142B"/>
    <w:rsid w:val="00891A9C"/>
    <w:rsid w:val="00891B2E"/>
    <w:rsid w:val="00891CDB"/>
    <w:rsid w:val="00891D26"/>
    <w:rsid w:val="008922A3"/>
    <w:rsid w:val="00892C97"/>
    <w:rsid w:val="00893590"/>
    <w:rsid w:val="00893596"/>
    <w:rsid w:val="00893C65"/>
    <w:rsid w:val="00894794"/>
    <w:rsid w:val="00894908"/>
    <w:rsid w:val="00894BAC"/>
    <w:rsid w:val="00894EEA"/>
    <w:rsid w:val="0089562F"/>
    <w:rsid w:val="0089578A"/>
    <w:rsid w:val="00895CF2"/>
    <w:rsid w:val="00896B6C"/>
    <w:rsid w:val="00896CD3"/>
    <w:rsid w:val="008973DD"/>
    <w:rsid w:val="008978E4"/>
    <w:rsid w:val="00897F3A"/>
    <w:rsid w:val="008A084B"/>
    <w:rsid w:val="008A0AE1"/>
    <w:rsid w:val="008A0D44"/>
    <w:rsid w:val="008A18DE"/>
    <w:rsid w:val="008A1976"/>
    <w:rsid w:val="008A1A55"/>
    <w:rsid w:val="008A2374"/>
    <w:rsid w:val="008A3189"/>
    <w:rsid w:val="008A3B0F"/>
    <w:rsid w:val="008A3CD1"/>
    <w:rsid w:val="008A44CD"/>
    <w:rsid w:val="008A4901"/>
    <w:rsid w:val="008A4910"/>
    <w:rsid w:val="008A51CD"/>
    <w:rsid w:val="008A53A8"/>
    <w:rsid w:val="008A56C8"/>
    <w:rsid w:val="008A5A6E"/>
    <w:rsid w:val="008A60BD"/>
    <w:rsid w:val="008A6C6B"/>
    <w:rsid w:val="008A6CCF"/>
    <w:rsid w:val="008A76FD"/>
    <w:rsid w:val="008A7AFB"/>
    <w:rsid w:val="008A7BCB"/>
    <w:rsid w:val="008A7E2E"/>
    <w:rsid w:val="008B0347"/>
    <w:rsid w:val="008B03CD"/>
    <w:rsid w:val="008B0AB8"/>
    <w:rsid w:val="008B1368"/>
    <w:rsid w:val="008B175D"/>
    <w:rsid w:val="008B1930"/>
    <w:rsid w:val="008B19FA"/>
    <w:rsid w:val="008B2291"/>
    <w:rsid w:val="008B29E3"/>
    <w:rsid w:val="008B2C6E"/>
    <w:rsid w:val="008B371C"/>
    <w:rsid w:val="008B37D1"/>
    <w:rsid w:val="008B3E46"/>
    <w:rsid w:val="008B4713"/>
    <w:rsid w:val="008B4846"/>
    <w:rsid w:val="008B48F3"/>
    <w:rsid w:val="008B4928"/>
    <w:rsid w:val="008B5541"/>
    <w:rsid w:val="008B6579"/>
    <w:rsid w:val="008B6593"/>
    <w:rsid w:val="008B6A09"/>
    <w:rsid w:val="008B6FD3"/>
    <w:rsid w:val="008B7006"/>
    <w:rsid w:val="008B73A4"/>
    <w:rsid w:val="008B7DE8"/>
    <w:rsid w:val="008C0B15"/>
    <w:rsid w:val="008C0FFE"/>
    <w:rsid w:val="008C1730"/>
    <w:rsid w:val="008C29DB"/>
    <w:rsid w:val="008C2A46"/>
    <w:rsid w:val="008C2AB7"/>
    <w:rsid w:val="008C3219"/>
    <w:rsid w:val="008C4945"/>
    <w:rsid w:val="008C4A20"/>
    <w:rsid w:val="008C4ACB"/>
    <w:rsid w:val="008C549D"/>
    <w:rsid w:val="008C5616"/>
    <w:rsid w:val="008C59D3"/>
    <w:rsid w:val="008C67E7"/>
    <w:rsid w:val="008C7357"/>
    <w:rsid w:val="008C7732"/>
    <w:rsid w:val="008D050A"/>
    <w:rsid w:val="008D08B1"/>
    <w:rsid w:val="008D0FD1"/>
    <w:rsid w:val="008D1ADD"/>
    <w:rsid w:val="008D27F2"/>
    <w:rsid w:val="008D2AB4"/>
    <w:rsid w:val="008D3039"/>
    <w:rsid w:val="008D318D"/>
    <w:rsid w:val="008D31E0"/>
    <w:rsid w:val="008D403C"/>
    <w:rsid w:val="008D40A7"/>
    <w:rsid w:val="008D4818"/>
    <w:rsid w:val="008D4E03"/>
    <w:rsid w:val="008D4F80"/>
    <w:rsid w:val="008D5327"/>
    <w:rsid w:val="008D6086"/>
    <w:rsid w:val="008D6FA8"/>
    <w:rsid w:val="008D747C"/>
    <w:rsid w:val="008E0096"/>
    <w:rsid w:val="008E00B8"/>
    <w:rsid w:val="008E02BA"/>
    <w:rsid w:val="008E1259"/>
    <w:rsid w:val="008E1935"/>
    <w:rsid w:val="008E292F"/>
    <w:rsid w:val="008E29FF"/>
    <w:rsid w:val="008E2E33"/>
    <w:rsid w:val="008E31C0"/>
    <w:rsid w:val="008E329C"/>
    <w:rsid w:val="008E3B38"/>
    <w:rsid w:val="008E4485"/>
    <w:rsid w:val="008E5051"/>
    <w:rsid w:val="008E5421"/>
    <w:rsid w:val="008E57ED"/>
    <w:rsid w:val="008E5C69"/>
    <w:rsid w:val="008E634A"/>
    <w:rsid w:val="008E65EC"/>
    <w:rsid w:val="008E6D1A"/>
    <w:rsid w:val="008E7021"/>
    <w:rsid w:val="008E71D6"/>
    <w:rsid w:val="008E79D3"/>
    <w:rsid w:val="008E7C59"/>
    <w:rsid w:val="008E7E7B"/>
    <w:rsid w:val="008F001C"/>
    <w:rsid w:val="008F092E"/>
    <w:rsid w:val="008F0B62"/>
    <w:rsid w:val="008F133D"/>
    <w:rsid w:val="008F1365"/>
    <w:rsid w:val="008F1670"/>
    <w:rsid w:val="008F179B"/>
    <w:rsid w:val="008F1B99"/>
    <w:rsid w:val="008F1E74"/>
    <w:rsid w:val="008F2132"/>
    <w:rsid w:val="008F2249"/>
    <w:rsid w:val="008F28AA"/>
    <w:rsid w:val="008F2C84"/>
    <w:rsid w:val="008F3097"/>
    <w:rsid w:val="008F3BA7"/>
    <w:rsid w:val="008F3D82"/>
    <w:rsid w:val="008F42C8"/>
    <w:rsid w:val="008F464E"/>
    <w:rsid w:val="008F4DC2"/>
    <w:rsid w:val="008F5172"/>
    <w:rsid w:val="008F5326"/>
    <w:rsid w:val="008F572E"/>
    <w:rsid w:val="008F5A54"/>
    <w:rsid w:val="008F5D8C"/>
    <w:rsid w:val="008F5E14"/>
    <w:rsid w:val="008F63D2"/>
    <w:rsid w:val="008F64AE"/>
    <w:rsid w:val="008F652A"/>
    <w:rsid w:val="008F6B4D"/>
    <w:rsid w:val="008F6C65"/>
    <w:rsid w:val="008F706F"/>
    <w:rsid w:val="009004DF"/>
    <w:rsid w:val="00900D05"/>
    <w:rsid w:val="0090122B"/>
    <w:rsid w:val="009019ED"/>
    <w:rsid w:val="00901D95"/>
    <w:rsid w:val="009027B1"/>
    <w:rsid w:val="00902D57"/>
    <w:rsid w:val="00903299"/>
    <w:rsid w:val="00903C13"/>
    <w:rsid w:val="0090407C"/>
    <w:rsid w:val="00904FBB"/>
    <w:rsid w:val="009054F9"/>
    <w:rsid w:val="00905504"/>
    <w:rsid w:val="00906B8F"/>
    <w:rsid w:val="00906BBF"/>
    <w:rsid w:val="00906BE4"/>
    <w:rsid w:val="00906CF9"/>
    <w:rsid w:val="00906F6D"/>
    <w:rsid w:val="00906F9F"/>
    <w:rsid w:val="00907DBB"/>
    <w:rsid w:val="009100A1"/>
    <w:rsid w:val="009102F3"/>
    <w:rsid w:val="00910387"/>
    <w:rsid w:val="00910587"/>
    <w:rsid w:val="00910D50"/>
    <w:rsid w:val="009114C1"/>
    <w:rsid w:val="009119E7"/>
    <w:rsid w:val="00911D75"/>
    <w:rsid w:val="00913747"/>
    <w:rsid w:val="00913E62"/>
    <w:rsid w:val="009143FC"/>
    <w:rsid w:val="00915F1C"/>
    <w:rsid w:val="00915FE5"/>
    <w:rsid w:val="0091604B"/>
    <w:rsid w:val="009162D4"/>
    <w:rsid w:val="00916340"/>
    <w:rsid w:val="00917B17"/>
    <w:rsid w:val="00917E34"/>
    <w:rsid w:val="009215B3"/>
    <w:rsid w:val="0092176E"/>
    <w:rsid w:val="00921771"/>
    <w:rsid w:val="009219F9"/>
    <w:rsid w:val="00923651"/>
    <w:rsid w:val="0092390F"/>
    <w:rsid w:val="00923B5A"/>
    <w:rsid w:val="00924006"/>
    <w:rsid w:val="00924981"/>
    <w:rsid w:val="009250E4"/>
    <w:rsid w:val="009256ED"/>
    <w:rsid w:val="00925958"/>
    <w:rsid w:val="00925D5A"/>
    <w:rsid w:val="009263DA"/>
    <w:rsid w:val="009273C7"/>
    <w:rsid w:val="00927492"/>
    <w:rsid w:val="0093028F"/>
    <w:rsid w:val="009309E8"/>
    <w:rsid w:val="00930B83"/>
    <w:rsid w:val="00930D6E"/>
    <w:rsid w:val="00931895"/>
    <w:rsid w:val="009319E7"/>
    <w:rsid w:val="00932F77"/>
    <w:rsid w:val="00933C79"/>
    <w:rsid w:val="00933CD1"/>
    <w:rsid w:val="00933E6D"/>
    <w:rsid w:val="00934302"/>
    <w:rsid w:val="0093447D"/>
    <w:rsid w:val="00934ED4"/>
    <w:rsid w:val="0093528F"/>
    <w:rsid w:val="00935C34"/>
    <w:rsid w:val="00936209"/>
    <w:rsid w:val="00936BB8"/>
    <w:rsid w:val="0093739A"/>
    <w:rsid w:val="009375A9"/>
    <w:rsid w:val="00937817"/>
    <w:rsid w:val="0094027D"/>
    <w:rsid w:val="009407CC"/>
    <w:rsid w:val="00940969"/>
    <w:rsid w:val="009410B7"/>
    <w:rsid w:val="00941460"/>
    <w:rsid w:val="009415E6"/>
    <w:rsid w:val="009416A8"/>
    <w:rsid w:val="00941BBB"/>
    <w:rsid w:val="00942307"/>
    <w:rsid w:val="00942A11"/>
    <w:rsid w:val="00942F7D"/>
    <w:rsid w:val="009433D5"/>
    <w:rsid w:val="009436AD"/>
    <w:rsid w:val="00943C53"/>
    <w:rsid w:val="00944BB1"/>
    <w:rsid w:val="009453C4"/>
    <w:rsid w:val="0094652C"/>
    <w:rsid w:val="0094660E"/>
    <w:rsid w:val="009477A8"/>
    <w:rsid w:val="0094785D"/>
    <w:rsid w:val="009478F4"/>
    <w:rsid w:val="00947C94"/>
    <w:rsid w:val="009500BE"/>
    <w:rsid w:val="009510D4"/>
    <w:rsid w:val="00951727"/>
    <w:rsid w:val="00951846"/>
    <w:rsid w:val="00951F8F"/>
    <w:rsid w:val="00952304"/>
    <w:rsid w:val="00953856"/>
    <w:rsid w:val="00953D15"/>
    <w:rsid w:val="0095478C"/>
    <w:rsid w:val="009547A0"/>
    <w:rsid w:val="009555AC"/>
    <w:rsid w:val="0095574B"/>
    <w:rsid w:val="00955C3A"/>
    <w:rsid w:val="00955DFE"/>
    <w:rsid w:val="00955E7C"/>
    <w:rsid w:val="00955EFF"/>
    <w:rsid w:val="0095690D"/>
    <w:rsid w:val="00956E22"/>
    <w:rsid w:val="00957D10"/>
    <w:rsid w:val="00960CD9"/>
    <w:rsid w:val="00960E15"/>
    <w:rsid w:val="00961393"/>
    <w:rsid w:val="0096221C"/>
    <w:rsid w:val="00962270"/>
    <w:rsid w:val="009622B9"/>
    <w:rsid w:val="00962F51"/>
    <w:rsid w:val="00963778"/>
    <w:rsid w:val="009642B9"/>
    <w:rsid w:val="0096478B"/>
    <w:rsid w:val="009647EF"/>
    <w:rsid w:val="00965EEA"/>
    <w:rsid w:val="00966AEA"/>
    <w:rsid w:val="00966EBC"/>
    <w:rsid w:val="00967061"/>
    <w:rsid w:val="00967288"/>
    <w:rsid w:val="00967352"/>
    <w:rsid w:val="0096771D"/>
    <w:rsid w:val="00967CBD"/>
    <w:rsid w:val="00970135"/>
    <w:rsid w:val="0097026B"/>
    <w:rsid w:val="00970681"/>
    <w:rsid w:val="0097098A"/>
    <w:rsid w:val="00970A8A"/>
    <w:rsid w:val="00971384"/>
    <w:rsid w:val="00971DE0"/>
    <w:rsid w:val="00971E5B"/>
    <w:rsid w:val="00972005"/>
    <w:rsid w:val="00972124"/>
    <w:rsid w:val="009721CE"/>
    <w:rsid w:val="00973D76"/>
    <w:rsid w:val="0097450C"/>
    <w:rsid w:val="009746CD"/>
    <w:rsid w:val="0097486D"/>
    <w:rsid w:val="00975419"/>
    <w:rsid w:val="00975672"/>
    <w:rsid w:val="00975891"/>
    <w:rsid w:val="0097591B"/>
    <w:rsid w:val="00975F53"/>
    <w:rsid w:val="009768E6"/>
    <w:rsid w:val="0097727D"/>
    <w:rsid w:val="00977621"/>
    <w:rsid w:val="00977F5D"/>
    <w:rsid w:val="009809D4"/>
    <w:rsid w:val="00981545"/>
    <w:rsid w:val="009816D9"/>
    <w:rsid w:val="00981743"/>
    <w:rsid w:val="009818C1"/>
    <w:rsid w:val="009819FB"/>
    <w:rsid w:val="00981AB5"/>
    <w:rsid w:val="00981D12"/>
    <w:rsid w:val="00981F10"/>
    <w:rsid w:val="00982B4B"/>
    <w:rsid w:val="00983912"/>
    <w:rsid w:val="00983B05"/>
    <w:rsid w:val="00983BC4"/>
    <w:rsid w:val="00983E29"/>
    <w:rsid w:val="00984924"/>
    <w:rsid w:val="00984B81"/>
    <w:rsid w:val="009853D1"/>
    <w:rsid w:val="009855D1"/>
    <w:rsid w:val="0098560C"/>
    <w:rsid w:val="009861AF"/>
    <w:rsid w:val="00986691"/>
    <w:rsid w:val="00986CB8"/>
    <w:rsid w:val="00986F93"/>
    <w:rsid w:val="009870C7"/>
    <w:rsid w:val="009879AD"/>
    <w:rsid w:val="00990106"/>
    <w:rsid w:val="009901B3"/>
    <w:rsid w:val="009902FB"/>
    <w:rsid w:val="00990353"/>
    <w:rsid w:val="0099045A"/>
    <w:rsid w:val="00990472"/>
    <w:rsid w:val="009904BE"/>
    <w:rsid w:val="0099063B"/>
    <w:rsid w:val="00990734"/>
    <w:rsid w:val="00990D70"/>
    <w:rsid w:val="00990E9C"/>
    <w:rsid w:val="00991033"/>
    <w:rsid w:val="00991417"/>
    <w:rsid w:val="00991731"/>
    <w:rsid w:val="00991874"/>
    <w:rsid w:val="00992311"/>
    <w:rsid w:val="00992BD2"/>
    <w:rsid w:val="00993020"/>
    <w:rsid w:val="00993604"/>
    <w:rsid w:val="00993680"/>
    <w:rsid w:val="00993814"/>
    <w:rsid w:val="009954B9"/>
    <w:rsid w:val="00995D3A"/>
    <w:rsid w:val="009964C4"/>
    <w:rsid w:val="00996C9B"/>
    <w:rsid w:val="009973BB"/>
    <w:rsid w:val="00997E5B"/>
    <w:rsid w:val="009A01DD"/>
    <w:rsid w:val="009A07F0"/>
    <w:rsid w:val="009A0E02"/>
    <w:rsid w:val="009A0F4C"/>
    <w:rsid w:val="009A16EF"/>
    <w:rsid w:val="009A176E"/>
    <w:rsid w:val="009A1A84"/>
    <w:rsid w:val="009A2AF3"/>
    <w:rsid w:val="009A2CCF"/>
    <w:rsid w:val="009A36FE"/>
    <w:rsid w:val="009A3CEF"/>
    <w:rsid w:val="009A3D21"/>
    <w:rsid w:val="009A3DD5"/>
    <w:rsid w:val="009A4AD1"/>
    <w:rsid w:val="009A4BEC"/>
    <w:rsid w:val="009A5295"/>
    <w:rsid w:val="009A53C4"/>
    <w:rsid w:val="009A53E7"/>
    <w:rsid w:val="009A58A9"/>
    <w:rsid w:val="009A60BC"/>
    <w:rsid w:val="009A611A"/>
    <w:rsid w:val="009A67B2"/>
    <w:rsid w:val="009A6DD4"/>
    <w:rsid w:val="009A7766"/>
    <w:rsid w:val="009B20FF"/>
    <w:rsid w:val="009B22BC"/>
    <w:rsid w:val="009B2FF8"/>
    <w:rsid w:val="009B30FB"/>
    <w:rsid w:val="009B3593"/>
    <w:rsid w:val="009B3955"/>
    <w:rsid w:val="009B3FDB"/>
    <w:rsid w:val="009B41AF"/>
    <w:rsid w:val="009B491B"/>
    <w:rsid w:val="009B4EA4"/>
    <w:rsid w:val="009B51E7"/>
    <w:rsid w:val="009B5764"/>
    <w:rsid w:val="009B5A81"/>
    <w:rsid w:val="009B5A8B"/>
    <w:rsid w:val="009B6833"/>
    <w:rsid w:val="009B683A"/>
    <w:rsid w:val="009B68BD"/>
    <w:rsid w:val="009B7953"/>
    <w:rsid w:val="009B7B21"/>
    <w:rsid w:val="009C0CB5"/>
    <w:rsid w:val="009C11A8"/>
    <w:rsid w:val="009C1901"/>
    <w:rsid w:val="009C23DD"/>
    <w:rsid w:val="009C242A"/>
    <w:rsid w:val="009C320B"/>
    <w:rsid w:val="009C3469"/>
    <w:rsid w:val="009C36FC"/>
    <w:rsid w:val="009C380C"/>
    <w:rsid w:val="009C3AB2"/>
    <w:rsid w:val="009C3C24"/>
    <w:rsid w:val="009C3F5D"/>
    <w:rsid w:val="009C424A"/>
    <w:rsid w:val="009C4A44"/>
    <w:rsid w:val="009C4DA6"/>
    <w:rsid w:val="009C50D9"/>
    <w:rsid w:val="009C514B"/>
    <w:rsid w:val="009C57F3"/>
    <w:rsid w:val="009C590C"/>
    <w:rsid w:val="009C5C73"/>
    <w:rsid w:val="009C5DB1"/>
    <w:rsid w:val="009C5E4A"/>
    <w:rsid w:val="009C6274"/>
    <w:rsid w:val="009C6548"/>
    <w:rsid w:val="009C78F7"/>
    <w:rsid w:val="009C796C"/>
    <w:rsid w:val="009C7AEF"/>
    <w:rsid w:val="009C7D7A"/>
    <w:rsid w:val="009D021A"/>
    <w:rsid w:val="009D0398"/>
    <w:rsid w:val="009D08D2"/>
    <w:rsid w:val="009D0998"/>
    <w:rsid w:val="009D09C4"/>
    <w:rsid w:val="009D0F17"/>
    <w:rsid w:val="009D1679"/>
    <w:rsid w:val="009D176A"/>
    <w:rsid w:val="009D179B"/>
    <w:rsid w:val="009D1D9B"/>
    <w:rsid w:val="009D1E2D"/>
    <w:rsid w:val="009D1E7C"/>
    <w:rsid w:val="009D1F65"/>
    <w:rsid w:val="009D250D"/>
    <w:rsid w:val="009D27F9"/>
    <w:rsid w:val="009D3909"/>
    <w:rsid w:val="009D39E9"/>
    <w:rsid w:val="009D3A7E"/>
    <w:rsid w:val="009D4684"/>
    <w:rsid w:val="009D49A6"/>
    <w:rsid w:val="009D4A03"/>
    <w:rsid w:val="009D4BBA"/>
    <w:rsid w:val="009D59DF"/>
    <w:rsid w:val="009D5E59"/>
    <w:rsid w:val="009D5FBF"/>
    <w:rsid w:val="009D6265"/>
    <w:rsid w:val="009D68F6"/>
    <w:rsid w:val="009D6930"/>
    <w:rsid w:val="009D7CB3"/>
    <w:rsid w:val="009E069C"/>
    <w:rsid w:val="009E1851"/>
    <w:rsid w:val="009E1E47"/>
    <w:rsid w:val="009E249C"/>
    <w:rsid w:val="009E2936"/>
    <w:rsid w:val="009E2F96"/>
    <w:rsid w:val="009E40EF"/>
    <w:rsid w:val="009E4275"/>
    <w:rsid w:val="009E4645"/>
    <w:rsid w:val="009E4A2A"/>
    <w:rsid w:val="009E4A95"/>
    <w:rsid w:val="009E4BCE"/>
    <w:rsid w:val="009E5771"/>
    <w:rsid w:val="009E5B01"/>
    <w:rsid w:val="009E5E04"/>
    <w:rsid w:val="009E70DA"/>
    <w:rsid w:val="009E7DE5"/>
    <w:rsid w:val="009E7EDD"/>
    <w:rsid w:val="009F18CE"/>
    <w:rsid w:val="009F1FAF"/>
    <w:rsid w:val="009F2106"/>
    <w:rsid w:val="009F2CF8"/>
    <w:rsid w:val="009F3554"/>
    <w:rsid w:val="009F39E5"/>
    <w:rsid w:val="009F3EEF"/>
    <w:rsid w:val="009F4065"/>
    <w:rsid w:val="009F4552"/>
    <w:rsid w:val="009F4C1D"/>
    <w:rsid w:val="009F4D4D"/>
    <w:rsid w:val="009F5503"/>
    <w:rsid w:val="009F5866"/>
    <w:rsid w:val="009F5A2D"/>
    <w:rsid w:val="009F615F"/>
    <w:rsid w:val="009F6448"/>
    <w:rsid w:val="009F69D7"/>
    <w:rsid w:val="009F6F81"/>
    <w:rsid w:val="009F71A9"/>
    <w:rsid w:val="009F74D6"/>
    <w:rsid w:val="009F752F"/>
    <w:rsid w:val="009F7703"/>
    <w:rsid w:val="009F7FB6"/>
    <w:rsid w:val="00A0085C"/>
    <w:rsid w:val="00A00B15"/>
    <w:rsid w:val="00A0107D"/>
    <w:rsid w:val="00A01176"/>
    <w:rsid w:val="00A0207B"/>
    <w:rsid w:val="00A0257C"/>
    <w:rsid w:val="00A039E6"/>
    <w:rsid w:val="00A03A7F"/>
    <w:rsid w:val="00A03F0D"/>
    <w:rsid w:val="00A041A7"/>
    <w:rsid w:val="00A0479D"/>
    <w:rsid w:val="00A04F0B"/>
    <w:rsid w:val="00A04FA5"/>
    <w:rsid w:val="00A05CF3"/>
    <w:rsid w:val="00A0632E"/>
    <w:rsid w:val="00A063E3"/>
    <w:rsid w:val="00A06F2C"/>
    <w:rsid w:val="00A06F46"/>
    <w:rsid w:val="00A07198"/>
    <w:rsid w:val="00A0748F"/>
    <w:rsid w:val="00A0753F"/>
    <w:rsid w:val="00A07754"/>
    <w:rsid w:val="00A07BA9"/>
    <w:rsid w:val="00A10018"/>
    <w:rsid w:val="00A10319"/>
    <w:rsid w:val="00A10453"/>
    <w:rsid w:val="00A107DD"/>
    <w:rsid w:val="00A10C44"/>
    <w:rsid w:val="00A11634"/>
    <w:rsid w:val="00A117A1"/>
    <w:rsid w:val="00A11D82"/>
    <w:rsid w:val="00A11FFF"/>
    <w:rsid w:val="00A120C7"/>
    <w:rsid w:val="00A1237F"/>
    <w:rsid w:val="00A12592"/>
    <w:rsid w:val="00A12B88"/>
    <w:rsid w:val="00A12B90"/>
    <w:rsid w:val="00A12C05"/>
    <w:rsid w:val="00A139C2"/>
    <w:rsid w:val="00A13A72"/>
    <w:rsid w:val="00A13D85"/>
    <w:rsid w:val="00A143B1"/>
    <w:rsid w:val="00A14829"/>
    <w:rsid w:val="00A14B0D"/>
    <w:rsid w:val="00A14CA1"/>
    <w:rsid w:val="00A15247"/>
    <w:rsid w:val="00A15567"/>
    <w:rsid w:val="00A15664"/>
    <w:rsid w:val="00A15A35"/>
    <w:rsid w:val="00A15D01"/>
    <w:rsid w:val="00A15D28"/>
    <w:rsid w:val="00A16258"/>
    <w:rsid w:val="00A1652B"/>
    <w:rsid w:val="00A1669C"/>
    <w:rsid w:val="00A16BEF"/>
    <w:rsid w:val="00A16C2D"/>
    <w:rsid w:val="00A16FAF"/>
    <w:rsid w:val="00A177C3"/>
    <w:rsid w:val="00A202D9"/>
    <w:rsid w:val="00A206EA"/>
    <w:rsid w:val="00A208DF"/>
    <w:rsid w:val="00A2097D"/>
    <w:rsid w:val="00A20E56"/>
    <w:rsid w:val="00A20F1D"/>
    <w:rsid w:val="00A2121E"/>
    <w:rsid w:val="00A21589"/>
    <w:rsid w:val="00A22490"/>
    <w:rsid w:val="00A235C2"/>
    <w:rsid w:val="00A25586"/>
    <w:rsid w:val="00A26783"/>
    <w:rsid w:val="00A2689B"/>
    <w:rsid w:val="00A2731D"/>
    <w:rsid w:val="00A27CB5"/>
    <w:rsid w:val="00A27D6F"/>
    <w:rsid w:val="00A3059E"/>
    <w:rsid w:val="00A30627"/>
    <w:rsid w:val="00A30CD0"/>
    <w:rsid w:val="00A30D95"/>
    <w:rsid w:val="00A3113C"/>
    <w:rsid w:val="00A3196C"/>
    <w:rsid w:val="00A32E6F"/>
    <w:rsid w:val="00A32EA7"/>
    <w:rsid w:val="00A3304A"/>
    <w:rsid w:val="00A338BD"/>
    <w:rsid w:val="00A34E38"/>
    <w:rsid w:val="00A34E84"/>
    <w:rsid w:val="00A35F68"/>
    <w:rsid w:val="00A36840"/>
    <w:rsid w:val="00A36E14"/>
    <w:rsid w:val="00A3735F"/>
    <w:rsid w:val="00A374CF"/>
    <w:rsid w:val="00A375FB"/>
    <w:rsid w:val="00A37CA6"/>
    <w:rsid w:val="00A37FDE"/>
    <w:rsid w:val="00A40174"/>
    <w:rsid w:val="00A40184"/>
    <w:rsid w:val="00A4124B"/>
    <w:rsid w:val="00A41747"/>
    <w:rsid w:val="00A41770"/>
    <w:rsid w:val="00A41B9C"/>
    <w:rsid w:val="00A41E03"/>
    <w:rsid w:val="00A42695"/>
    <w:rsid w:val="00A428D0"/>
    <w:rsid w:val="00A42A45"/>
    <w:rsid w:val="00A433EB"/>
    <w:rsid w:val="00A44479"/>
    <w:rsid w:val="00A44A4E"/>
    <w:rsid w:val="00A44AC4"/>
    <w:rsid w:val="00A450FD"/>
    <w:rsid w:val="00A45114"/>
    <w:rsid w:val="00A4553B"/>
    <w:rsid w:val="00A45A4B"/>
    <w:rsid w:val="00A45FF0"/>
    <w:rsid w:val="00A46894"/>
    <w:rsid w:val="00A4699B"/>
    <w:rsid w:val="00A46CBB"/>
    <w:rsid w:val="00A46E36"/>
    <w:rsid w:val="00A477B3"/>
    <w:rsid w:val="00A47A03"/>
    <w:rsid w:val="00A47FC6"/>
    <w:rsid w:val="00A505E6"/>
    <w:rsid w:val="00A512F8"/>
    <w:rsid w:val="00A51413"/>
    <w:rsid w:val="00A51484"/>
    <w:rsid w:val="00A51AFA"/>
    <w:rsid w:val="00A51BCC"/>
    <w:rsid w:val="00A51E34"/>
    <w:rsid w:val="00A52032"/>
    <w:rsid w:val="00A521ED"/>
    <w:rsid w:val="00A52588"/>
    <w:rsid w:val="00A534B2"/>
    <w:rsid w:val="00A5360B"/>
    <w:rsid w:val="00A53FDA"/>
    <w:rsid w:val="00A54DE3"/>
    <w:rsid w:val="00A55054"/>
    <w:rsid w:val="00A55626"/>
    <w:rsid w:val="00A55D1E"/>
    <w:rsid w:val="00A5673B"/>
    <w:rsid w:val="00A567D2"/>
    <w:rsid w:val="00A56B8B"/>
    <w:rsid w:val="00A56E3B"/>
    <w:rsid w:val="00A56E67"/>
    <w:rsid w:val="00A57052"/>
    <w:rsid w:val="00A572A2"/>
    <w:rsid w:val="00A578C2"/>
    <w:rsid w:val="00A57D9B"/>
    <w:rsid w:val="00A60EE0"/>
    <w:rsid w:val="00A6193F"/>
    <w:rsid w:val="00A6216A"/>
    <w:rsid w:val="00A623DA"/>
    <w:rsid w:val="00A62702"/>
    <w:rsid w:val="00A62798"/>
    <w:rsid w:val="00A62800"/>
    <w:rsid w:val="00A62974"/>
    <w:rsid w:val="00A62A44"/>
    <w:rsid w:val="00A63099"/>
    <w:rsid w:val="00A632D6"/>
    <w:rsid w:val="00A63AD6"/>
    <w:rsid w:val="00A64FBA"/>
    <w:rsid w:val="00A659F2"/>
    <w:rsid w:val="00A66887"/>
    <w:rsid w:val="00A6748D"/>
    <w:rsid w:val="00A67496"/>
    <w:rsid w:val="00A67768"/>
    <w:rsid w:val="00A705DC"/>
    <w:rsid w:val="00A705F0"/>
    <w:rsid w:val="00A70ECC"/>
    <w:rsid w:val="00A70FE2"/>
    <w:rsid w:val="00A7171B"/>
    <w:rsid w:val="00A719FC"/>
    <w:rsid w:val="00A71CD7"/>
    <w:rsid w:val="00A7331D"/>
    <w:rsid w:val="00A741DE"/>
    <w:rsid w:val="00A742C5"/>
    <w:rsid w:val="00A74FDA"/>
    <w:rsid w:val="00A755EC"/>
    <w:rsid w:val="00A756FF"/>
    <w:rsid w:val="00A758B2"/>
    <w:rsid w:val="00A7643F"/>
    <w:rsid w:val="00A77171"/>
    <w:rsid w:val="00A77297"/>
    <w:rsid w:val="00A7793E"/>
    <w:rsid w:val="00A77A15"/>
    <w:rsid w:val="00A77B5C"/>
    <w:rsid w:val="00A80106"/>
    <w:rsid w:val="00A80323"/>
    <w:rsid w:val="00A803CD"/>
    <w:rsid w:val="00A80505"/>
    <w:rsid w:val="00A8066F"/>
    <w:rsid w:val="00A807C2"/>
    <w:rsid w:val="00A808E2"/>
    <w:rsid w:val="00A818FF"/>
    <w:rsid w:val="00A81CA2"/>
    <w:rsid w:val="00A81E2D"/>
    <w:rsid w:val="00A82421"/>
    <w:rsid w:val="00A82819"/>
    <w:rsid w:val="00A82CE8"/>
    <w:rsid w:val="00A830B4"/>
    <w:rsid w:val="00A831BE"/>
    <w:rsid w:val="00A8334B"/>
    <w:rsid w:val="00A8397B"/>
    <w:rsid w:val="00A8440D"/>
    <w:rsid w:val="00A84C32"/>
    <w:rsid w:val="00A85053"/>
    <w:rsid w:val="00A851F5"/>
    <w:rsid w:val="00A8521D"/>
    <w:rsid w:val="00A85609"/>
    <w:rsid w:val="00A858B6"/>
    <w:rsid w:val="00A8597B"/>
    <w:rsid w:val="00A85BE2"/>
    <w:rsid w:val="00A85E3B"/>
    <w:rsid w:val="00A85E44"/>
    <w:rsid w:val="00A86AE6"/>
    <w:rsid w:val="00A8756C"/>
    <w:rsid w:val="00A876E2"/>
    <w:rsid w:val="00A903A9"/>
    <w:rsid w:val="00A90CBB"/>
    <w:rsid w:val="00A91064"/>
    <w:rsid w:val="00A9127B"/>
    <w:rsid w:val="00A912E3"/>
    <w:rsid w:val="00A914C2"/>
    <w:rsid w:val="00A922B6"/>
    <w:rsid w:val="00A9230C"/>
    <w:rsid w:val="00A92BDA"/>
    <w:rsid w:val="00A931B2"/>
    <w:rsid w:val="00A93D56"/>
    <w:rsid w:val="00A94E4F"/>
    <w:rsid w:val="00A95802"/>
    <w:rsid w:val="00A9661E"/>
    <w:rsid w:val="00A96684"/>
    <w:rsid w:val="00A96B4F"/>
    <w:rsid w:val="00A9729B"/>
    <w:rsid w:val="00A9730A"/>
    <w:rsid w:val="00A97D42"/>
    <w:rsid w:val="00A97DAA"/>
    <w:rsid w:val="00AA0428"/>
    <w:rsid w:val="00AA0801"/>
    <w:rsid w:val="00AA0D56"/>
    <w:rsid w:val="00AA0DE8"/>
    <w:rsid w:val="00AA140D"/>
    <w:rsid w:val="00AA1D19"/>
    <w:rsid w:val="00AA21B7"/>
    <w:rsid w:val="00AA2590"/>
    <w:rsid w:val="00AA273D"/>
    <w:rsid w:val="00AA2758"/>
    <w:rsid w:val="00AA2C4F"/>
    <w:rsid w:val="00AA3063"/>
    <w:rsid w:val="00AA3ADB"/>
    <w:rsid w:val="00AA3D39"/>
    <w:rsid w:val="00AA3FF1"/>
    <w:rsid w:val="00AA4139"/>
    <w:rsid w:val="00AA4298"/>
    <w:rsid w:val="00AA4324"/>
    <w:rsid w:val="00AA44D0"/>
    <w:rsid w:val="00AA47C8"/>
    <w:rsid w:val="00AA5015"/>
    <w:rsid w:val="00AA52E9"/>
    <w:rsid w:val="00AA533A"/>
    <w:rsid w:val="00AA579E"/>
    <w:rsid w:val="00AA5A39"/>
    <w:rsid w:val="00AA5DF7"/>
    <w:rsid w:val="00AA6128"/>
    <w:rsid w:val="00AA7734"/>
    <w:rsid w:val="00AA7E26"/>
    <w:rsid w:val="00AA7EAA"/>
    <w:rsid w:val="00AA7F2B"/>
    <w:rsid w:val="00AB004A"/>
    <w:rsid w:val="00AB04F4"/>
    <w:rsid w:val="00AB0536"/>
    <w:rsid w:val="00AB0757"/>
    <w:rsid w:val="00AB1E5B"/>
    <w:rsid w:val="00AB200C"/>
    <w:rsid w:val="00AB227C"/>
    <w:rsid w:val="00AB244B"/>
    <w:rsid w:val="00AB3106"/>
    <w:rsid w:val="00AB3B84"/>
    <w:rsid w:val="00AB4258"/>
    <w:rsid w:val="00AB4A2B"/>
    <w:rsid w:val="00AB56CA"/>
    <w:rsid w:val="00AB5731"/>
    <w:rsid w:val="00AB5BD9"/>
    <w:rsid w:val="00AB5EA2"/>
    <w:rsid w:val="00AB6F2C"/>
    <w:rsid w:val="00AB7033"/>
    <w:rsid w:val="00AB7293"/>
    <w:rsid w:val="00AB746D"/>
    <w:rsid w:val="00AB7717"/>
    <w:rsid w:val="00AB7760"/>
    <w:rsid w:val="00AB7990"/>
    <w:rsid w:val="00AB7CAB"/>
    <w:rsid w:val="00AC07C8"/>
    <w:rsid w:val="00AC0E8A"/>
    <w:rsid w:val="00AC12A0"/>
    <w:rsid w:val="00AC175A"/>
    <w:rsid w:val="00AC3800"/>
    <w:rsid w:val="00AC399B"/>
    <w:rsid w:val="00AC412A"/>
    <w:rsid w:val="00AC4381"/>
    <w:rsid w:val="00AC4AC9"/>
    <w:rsid w:val="00AC4BD5"/>
    <w:rsid w:val="00AC4C0A"/>
    <w:rsid w:val="00AC53EA"/>
    <w:rsid w:val="00AC5C14"/>
    <w:rsid w:val="00AC6506"/>
    <w:rsid w:val="00AC6EF4"/>
    <w:rsid w:val="00AC6F58"/>
    <w:rsid w:val="00AC74BE"/>
    <w:rsid w:val="00AC7BEE"/>
    <w:rsid w:val="00AC7E02"/>
    <w:rsid w:val="00AD0CFD"/>
    <w:rsid w:val="00AD105A"/>
    <w:rsid w:val="00AD105D"/>
    <w:rsid w:val="00AD12F6"/>
    <w:rsid w:val="00AD15B0"/>
    <w:rsid w:val="00AD1CE6"/>
    <w:rsid w:val="00AD1D1A"/>
    <w:rsid w:val="00AD1E38"/>
    <w:rsid w:val="00AD2008"/>
    <w:rsid w:val="00AD221E"/>
    <w:rsid w:val="00AD29CA"/>
    <w:rsid w:val="00AD2CA8"/>
    <w:rsid w:val="00AD307C"/>
    <w:rsid w:val="00AD30C8"/>
    <w:rsid w:val="00AD34D4"/>
    <w:rsid w:val="00AD3E2A"/>
    <w:rsid w:val="00AD3F77"/>
    <w:rsid w:val="00AD41CC"/>
    <w:rsid w:val="00AD421D"/>
    <w:rsid w:val="00AD4A8A"/>
    <w:rsid w:val="00AD4DEC"/>
    <w:rsid w:val="00AD5CD6"/>
    <w:rsid w:val="00AD6CE1"/>
    <w:rsid w:val="00AD6E60"/>
    <w:rsid w:val="00AD78CE"/>
    <w:rsid w:val="00AD799B"/>
    <w:rsid w:val="00AE02EC"/>
    <w:rsid w:val="00AE0649"/>
    <w:rsid w:val="00AE0791"/>
    <w:rsid w:val="00AE0DA6"/>
    <w:rsid w:val="00AE1953"/>
    <w:rsid w:val="00AE1DFC"/>
    <w:rsid w:val="00AE20E0"/>
    <w:rsid w:val="00AE2963"/>
    <w:rsid w:val="00AE2ADB"/>
    <w:rsid w:val="00AE2C01"/>
    <w:rsid w:val="00AE35E2"/>
    <w:rsid w:val="00AE3997"/>
    <w:rsid w:val="00AE41CE"/>
    <w:rsid w:val="00AE4D1B"/>
    <w:rsid w:val="00AE4E58"/>
    <w:rsid w:val="00AE5114"/>
    <w:rsid w:val="00AE5259"/>
    <w:rsid w:val="00AE5646"/>
    <w:rsid w:val="00AE5C9B"/>
    <w:rsid w:val="00AE6772"/>
    <w:rsid w:val="00AE69A9"/>
    <w:rsid w:val="00AE7646"/>
    <w:rsid w:val="00AE79E0"/>
    <w:rsid w:val="00AE7CEB"/>
    <w:rsid w:val="00AE7D8D"/>
    <w:rsid w:val="00AF0336"/>
    <w:rsid w:val="00AF0580"/>
    <w:rsid w:val="00AF080A"/>
    <w:rsid w:val="00AF082D"/>
    <w:rsid w:val="00AF0B27"/>
    <w:rsid w:val="00AF189B"/>
    <w:rsid w:val="00AF208F"/>
    <w:rsid w:val="00AF2409"/>
    <w:rsid w:val="00AF2D16"/>
    <w:rsid w:val="00AF2E25"/>
    <w:rsid w:val="00AF3186"/>
    <w:rsid w:val="00AF334D"/>
    <w:rsid w:val="00AF3A7A"/>
    <w:rsid w:val="00AF40BA"/>
    <w:rsid w:val="00AF461E"/>
    <w:rsid w:val="00AF4A33"/>
    <w:rsid w:val="00AF4FD5"/>
    <w:rsid w:val="00AF5140"/>
    <w:rsid w:val="00AF5814"/>
    <w:rsid w:val="00AF58BD"/>
    <w:rsid w:val="00AF5CF3"/>
    <w:rsid w:val="00AF5E11"/>
    <w:rsid w:val="00AF5E95"/>
    <w:rsid w:val="00AF5F20"/>
    <w:rsid w:val="00AF5F90"/>
    <w:rsid w:val="00AF673A"/>
    <w:rsid w:val="00AF7092"/>
    <w:rsid w:val="00AF75D9"/>
    <w:rsid w:val="00AF7926"/>
    <w:rsid w:val="00AF7B32"/>
    <w:rsid w:val="00AF7F56"/>
    <w:rsid w:val="00B00404"/>
    <w:rsid w:val="00B00BD9"/>
    <w:rsid w:val="00B01A5E"/>
    <w:rsid w:val="00B01D40"/>
    <w:rsid w:val="00B021A2"/>
    <w:rsid w:val="00B021DA"/>
    <w:rsid w:val="00B02391"/>
    <w:rsid w:val="00B02486"/>
    <w:rsid w:val="00B02FFE"/>
    <w:rsid w:val="00B0382B"/>
    <w:rsid w:val="00B047CF"/>
    <w:rsid w:val="00B04A5C"/>
    <w:rsid w:val="00B04B6C"/>
    <w:rsid w:val="00B05139"/>
    <w:rsid w:val="00B05154"/>
    <w:rsid w:val="00B053CF"/>
    <w:rsid w:val="00B056B3"/>
    <w:rsid w:val="00B05DCC"/>
    <w:rsid w:val="00B062AE"/>
    <w:rsid w:val="00B06CB4"/>
    <w:rsid w:val="00B07182"/>
    <w:rsid w:val="00B074BA"/>
    <w:rsid w:val="00B07A86"/>
    <w:rsid w:val="00B07F57"/>
    <w:rsid w:val="00B1057A"/>
    <w:rsid w:val="00B113CB"/>
    <w:rsid w:val="00B11E71"/>
    <w:rsid w:val="00B12215"/>
    <w:rsid w:val="00B12B49"/>
    <w:rsid w:val="00B12BE1"/>
    <w:rsid w:val="00B12E11"/>
    <w:rsid w:val="00B13263"/>
    <w:rsid w:val="00B13433"/>
    <w:rsid w:val="00B13652"/>
    <w:rsid w:val="00B13953"/>
    <w:rsid w:val="00B140B9"/>
    <w:rsid w:val="00B1519E"/>
    <w:rsid w:val="00B153D8"/>
    <w:rsid w:val="00B159FD"/>
    <w:rsid w:val="00B1663B"/>
    <w:rsid w:val="00B16A4F"/>
    <w:rsid w:val="00B16D49"/>
    <w:rsid w:val="00B17262"/>
    <w:rsid w:val="00B178CE"/>
    <w:rsid w:val="00B17DF6"/>
    <w:rsid w:val="00B2032E"/>
    <w:rsid w:val="00B208E7"/>
    <w:rsid w:val="00B20CAE"/>
    <w:rsid w:val="00B21C66"/>
    <w:rsid w:val="00B21CF6"/>
    <w:rsid w:val="00B2224F"/>
    <w:rsid w:val="00B226AE"/>
    <w:rsid w:val="00B22EC9"/>
    <w:rsid w:val="00B232AF"/>
    <w:rsid w:val="00B23532"/>
    <w:rsid w:val="00B25206"/>
    <w:rsid w:val="00B2573C"/>
    <w:rsid w:val="00B268BB"/>
    <w:rsid w:val="00B268F8"/>
    <w:rsid w:val="00B27682"/>
    <w:rsid w:val="00B277C1"/>
    <w:rsid w:val="00B3094A"/>
    <w:rsid w:val="00B311B8"/>
    <w:rsid w:val="00B31518"/>
    <w:rsid w:val="00B319D1"/>
    <w:rsid w:val="00B320BE"/>
    <w:rsid w:val="00B33D0D"/>
    <w:rsid w:val="00B34323"/>
    <w:rsid w:val="00B34574"/>
    <w:rsid w:val="00B34D1B"/>
    <w:rsid w:val="00B35474"/>
    <w:rsid w:val="00B355F4"/>
    <w:rsid w:val="00B358BA"/>
    <w:rsid w:val="00B366A1"/>
    <w:rsid w:val="00B36B52"/>
    <w:rsid w:val="00B3738C"/>
    <w:rsid w:val="00B37B14"/>
    <w:rsid w:val="00B37B4F"/>
    <w:rsid w:val="00B37C19"/>
    <w:rsid w:val="00B37FD5"/>
    <w:rsid w:val="00B400EF"/>
    <w:rsid w:val="00B4024C"/>
    <w:rsid w:val="00B40C1D"/>
    <w:rsid w:val="00B414FB"/>
    <w:rsid w:val="00B41572"/>
    <w:rsid w:val="00B41A0B"/>
    <w:rsid w:val="00B41DC2"/>
    <w:rsid w:val="00B41FB3"/>
    <w:rsid w:val="00B4289A"/>
    <w:rsid w:val="00B42DA9"/>
    <w:rsid w:val="00B43EFE"/>
    <w:rsid w:val="00B4418B"/>
    <w:rsid w:val="00B44193"/>
    <w:rsid w:val="00B44309"/>
    <w:rsid w:val="00B44600"/>
    <w:rsid w:val="00B447AF"/>
    <w:rsid w:val="00B44A40"/>
    <w:rsid w:val="00B44F95"/>
    <w:rsid w:val="00B456EF"/>
    <w:rsid w:val="00B45C89"/>
    <w:rsid w:val="00B4652F"/>
    <w:rsid w:val="00B47884"/>
    <w:rsid w:val="00B5021E"/>
    <w:rsid w:val="00B5038D"/>
    <w:rsid w:val="00B508DA"/>
    <w:rsid w:val="00B5094E"/>
    <w:rsid w:val="00B50D86"/>
    <w:rsid w:val="00B50D8A"/>
    <w:rsid w:val="00B50FBC"/>
    <w:rsid w:val="00B50FF6"/>
    <w:rsid w:val="00B5125D"/>
    <w:rsid w:val="00B51705"/>
    <w:rsid w:val="00B52414"/>
    <w:rsid w:val="00B524B9"/>
    <w:rsid w:val="00B5266A"/>
    <w:rsid w:val="00B52EA9"/>
    <w:rsid w:val="00B531AC"/>
    <w:rsid w:val="00B535A1"/>
    <w:rsid w:val="00B535F4"/>
    <w:rsid w:val="00B53A6F"/>
    <w:rsid w:val="00B53CAD"/>
    <w:rsid w:val="00B54769"/>
    <w:rsid w:val="00B547A7"/>
    <w:rsid w:val="00B552E9"/>
    <w:rsid w:val="00B55363"/>
    <w:rsid w:val="00B55596"/>
    <w:rsid w:val="00B5599A"/>
    <w:rsid w:val="00B559AF"/>
    <w:rsid w:val="00B55AEE"/>
    <w:rsid w:val="00B55ECC"/>
    <w:rsid w:val="00B56B52"/>
    <w:rsid w:val="00B56EAE"/>
    <w:rsid w:val="00B57380"/>
    <w:rsid w:val="00B61080"/>
    <w:rsid w:val="00B61A95"/>
    <w:rsid w:val="00B61E45"/>
    <w:rsid w:val="00B62043"/>
    <w:rsid w:val="00B62A55"/>
    <w:rsid w:val="00B62AF4"/>
    <w:rsid w:val="00B631EC"/>
    <w:rsid w:val="00B635D6"/>
    <w:rsid w:val="00B639F0"/>
    <w:rsid w:val="00B6438D"/>
    <w:rsid w:val="00B6469B"/>
    <w:rsid w:val="00B648D2"/>
    <w:rsid w:val="00B6518D"/>
    <w:rsid w:val="00B652EA"/>
    <w:rsid w:val="00B65A58"/>
    <w:rsid w:val="00B67A3D"/>
    <w:rsid w:val="00B70670"/>
    <w:rsid w:val="00B7140F"/>
    <w:rsid w:val="00B71493"/>
    <w:rsid w:val="00B719E8"/>
    <w:rsid w:val="00B71EBF"/>
    <w:rsid w:val="00B72A0C"/>
    <w:rsid w:val="00B72DDC"/>
    <w:rsid w:val="00B7364C"/>
    <w:rsid w:val="00B73D5D"/>
    <w:rsid w:val="00B74007"/>
    <w:rsid w:val="00B742E2"/>
    <w:rsid w:val="00B74319"/>
    <w:rsid w:val="00B74320"/>
    <w:rsid w:val="00B743FE"/>
    <w:rsid w:val="00B74455"/>
    <w:rsid w:val="00B74E72"/>
    <w:rsid w:val="00B753CD"/>
    <w:rsid w:val="00B75D60"/>
    <w:rsid w:val="00B7612C"/>
    <w:rsid w:val="00B7660D"/>
    <w:rsid w:val="00B76AA2"/>
    <w:rsid w:val="00B7710E"/>
    <w:rsid w:val="00B772BD"/>
    <w:rsid w:val="00B775B8"/>
    <w:rsid w:val="00B77679"/>
    <w:rsid w:val="00B77F0D"/>
    <w:rsid w:val="00B801AA"/>
    <w:rsid w:val="00B803B2"/>
    <w:rsid w:val="00B806D0"/>
    <w:rsid w:val="00B80855"/>
    <w:rsid w:val="00B809DF"/>
    <w:rsid w:val="00B82219"/>
    <w:rsid w:val="00B8238B"/>
    <w:rsid w:val="00B82761"/>
    <w:rsid w:val="00B827D7"/>
    <w:rsid w:val="00B82916"/>
    <w:rsid w:val="00B8297E"/>
    <w:rsid w:val="00B82CDD"/>
    <w:rsid w:val="00B82EB1"/>
    <w:rsid w:val="00B830DF"/>
    <w:rsid w:val="00B83506"/>
    <w:rsid w:val="00B838CD"/>
    <w:rsid w:val="00B83A52"/>
    <w:rsid w:val="00B83C1A"/>
    <w:rsid w:val="00B84431"/>
    <w:rsid w:val="00B8458A"/>
    <w:rsid w:val="00B847AE"/>
    <w:rsid w:val="00B84896"/>
    <w:rsid w:val="00B84F66"/>
    <w:rsid w:val="00B86290"/>
    <w:rsid w:val="00B8656B"/>
    <w:rsid w:val="00B8690E"/>
    <w:rsid w:val="00B86A31"/>
    <w:rsid w:val="00B87913"/>
    <w:rsid w:val="00B87949"/>
    <w:rsid w:val="00B87B26"/>
    <w:rsid w:val="00B907DE"/>
    <w:rsid w:val="00B90B20"/>
    <w:rsid w:val="00B9160B"/>
    <w:rsid w:val="00B916C7"/>
    <w:rsid w:val="00B91F0D"/>
    <w:rsid w:val="00B92058"/>
    <w:rsid w:val="00B92BA4"/>
    <w:rsid w:val="00B92F81"/>
    <w:rsid w:val="00B9307D"/>
    <w:rsid w:val="00B93497"/>
    <w:rsid w:val="00B93693"/>
    <w:rsid w:val="00B93847"/>
    <w:rsid w:val="00B93B1A"/>
    <w:rsid w:val="00B93EF6"/>
    <w:rsid w:val="00B940D6"/>
    <w:rsid w:val="00B94110"/>
    <w:rsid w:val="00B9420E"/>
    <w:rsid w:val="00B9539B"/>
    <w:rsid w:val="00B95623"/>
    <w:rsid w:val="00B9592F"/>
    <w:rsid w:val="00B95C10"/>
    <w:rsid w:val="00B95DB5"/>
    <w:rsid w:val="00B967C9"/>
    <w:rsid w:val="00B96D93"/>
    <w:rsid w:val="00B96E0A"/>
    <w:rsid w:val="00B97BD3"/>
    <w:rsid w:val="00BA02AB"/>
    <w:rsid w:val="00BA086D"/>
    <w:rsid w:val="00BA17C8"/>
    <w:rsid w:val="00BA192B"/>
    <w:rsid w:val="00BA19A8"/>
    <w:rsid w:val="00BA1AEE"/>
    <w:rsid w:val="00BA2147"/>
    <w:rsid w:val="00BA2F77"/>
    <w:rsid w:val="00BA3203"/>
    <w:rsid w:val="00BA38CF"/>
    <w:rsid w:val="00BA396A"/>
    <w:rsid w:val="00BA3B4D"/>
    <w:rsid w:val="00BA3BB9"/>
    <w:rsid w:val="00BA3CB7"/>
    <w:rsid w:val="00BA3E03"/>
    <w:rsid w:val="00BA4037"/>
    <w:rsid w:val="00BA440E"/>
    <w:rsid w:val="00BA45E8"/>
    <w:rsid w:val="00BA4CC6"/>
    <w:rsid w:val="00BA5558"/>
    <w:rsid w:val="00BA5988"/>
    <w:rsid w:val="00BA5EA9"/>
    <w:rsid w:val="00BA6677"/>
    <w:rsid w:val="00BA6CF0"/>
    <w:rsid w:val="00BA7DB6"/>
    <w:rsid w:val="00BB07BE"/>
    <w:rsid w:val="00BB07CA"/>
    <w:rsid w:val="00BB107C"/>
    <w:rsid w:val="00BB221D"/>
    <w:rsid w:val="00BB2243"/>
    <w:rsid w:val="00BB26BD"/>
    <w:rsid w:val="00BB2F48"/>
    <w:rsid w:val="00BB30AD"/>
    <w:rsid w:val="00BB324B"/>
    <w:rsid w:val="00BB3259"/>
    <w:rsid w:val="00BB3429"/>
    <w:rsid w:val="00BB3BCA"/>
    <w:rsid w:val="00BB3FFB"/>
    <w:rsid w:val="00BB4A80"/>
    <w:rsid w:val="00BB5340"/>
    <w:rsid w:val="00BB5558"/>
    <w:rsid w:val="00BB6924"/>
    <w:rsid w:val="00BB6C1E"/>
    <w:rsid w:val="00BB7EA3"/>
    <w:rsid w:val="00BC0BD8"/>
    <w:rsid w:val="00BC0F41"/>
    <w:rsid w:val="00BC144D"/>
    <w:rsid w:val="00BC2228"/>
    <w:rsid w:val="00BC2A91"/>
    <w:rsid w:val="00BC2FB5"/>
    <w:rsid w:val="00BC3819"/>
    <w:rsid w:val="00BC5ADA"/>
    <w:rsid w:val="00BC5DFE"/>
    <w:rsid w:val="00BC6258"/>
    <w:rsid w:val="00BC7029"/>
    <w:rsid w:val="00BD14DA"/>
    <w:rsid w:val="00BD16A2"/>
    <w:rsid w:val="00BD16CA"/>
    <w:rsid w:val="00BD17B8"/>
    <w:rsid w:val="00BD17DC"/>
    <w:rsid w:val="00BD180C"/>
    <w:rsid w:val="00BD19DB"/>
    <w:rsid w:val="00BD226E"/>
    <w:rsid w:val="00BD2385"/>
    <w:rsid w:val="00BD3893"/>
    <w:rsid w:val="00BD49B1"/>
    <w:rsid w:val="00BD4AF8"/>
    <w:rsid w:val="00BD518B"/>
    <w:rsid w:val="00BD581A"/>
    <w:rsid w:val="00BD58F4"/>
    <w:rsid w:val="00BD6551"/>
    <w:rsid w:val="00BD66A6"/>
    <w:rsid w:val="00BD67BE"/>
    <w:rsid w:val="00BD6B29"/>
    <w:rsid w:val="00BD716D"/>
    <w:rsid w:val="00BD7267"/>
    <w:rsid w:val="00BD7941"/>
    <w:rsid w:val="00BD7959"/>
    <w:rsid w:val="00BD7AB8"/>
    <w:rsid w:val="00BE085B"/>
    <w:rsid w:val="00BE0887"/>
    <w:rsid w:val="00BE0B2A"/>
    <w:rsid w:val="00BE0D35"/>
    <w:rsid w:val="00BE11BB"/>
    <w:rsid w:val="00BE1504"/>
    <w:rsid w:val="00BE18EB"/>
    <w:rsid w:val="00BE266C"/>
    <w:rsid w:val="00BE2894"/>
    <w:rsid w:val="00BE2988"/>
    <w:rsid w:val="00BE37FD"/>
    <w:rsid w:val="00BE3BF1"/>
    <w:rsid w:val="00BE43EF"/>
    <w:rsid w:val="00BE48A9"/>
    <w:rsid w:val="00BE4D39"/>
    <w:rsid w:val="00BE4DC8"/>
    <w:rsid w:val="00BE5175"/>
    <w:rsid w:val="00BE541A"/>
    <w:rsid w:val="00BE5B02"/>
    <w:rsid w:val="00BE5FCA"/>
    <w:rsid w:val="00BE6E37"/>
    <w:rsid w:val="00BE6F4B"/>
    <w:rsid w:val="00BE73D3"/>
    <w:rsid w:val="00BE7AE5"/>
    <w:rsid w:val="00BE7FDF"/>
    <w:rsid w:val="00BF05F5"/>
    <w:rsid w:val="00BF090A"/>
    <w:rsid w:val="00BF0A2B"/>
    <w:rsid w:val="00BF0B19"/>
    <w:rsid w:val="00BF0B80"/>
    <w:rsid w:val="00BF0C21"/>
    <w:rsid w:val="00BF0C83"/>
    <w:rsid w:val="00BF0CD5"/>
    <w:rsid w:val="00BF11EE"/>
    <w:rsid w:val="00BF27D9"/>
    <w:rsid w:val="00BF2EBE"/>
    <w:rsid w:val="00BF30D4"/>
    <w:rsid w:val="00BF3216"/>
    <w:rsid w:val="00BF35F2"/>
    <w:rsid w:val="00BF370B"/>
    <w:rsid w:val="00BF454F"/>
    <w:rsid w:val="00BF480E"/>
    <w:rsid w:val="00BF4857"/>
    <w:rsid w:val="00BF4B19"/>
    <w:rsid w:val="00BF4BF4"/>
    <w:rsid w:val="00BF51F8"/>
    <w:rsid w:val="00BF5301"/>
    <w:rsid w:val="00BF53B2"/>
    <w:rsid w:val="00BF5D7C"/>
    <w:rsid w:val="00BF60FB"/>
    <w:rsid w:val="00BF6BC2"/>
    <w:rsid w:val="00BF75DD"/>
    <w:rsid w:val="00BF7616"/>
    <w:rsid w:val="00BF7620"/>
    <w:rsid w:val="00BF7DC6"/>
    <w:rsid w:val="00C007BC"/>
    <w:rsid w:val="00C01054"/>
    <w:rsid w:val="00C012B3"/>
    <w:rsid w:val="00C012D5"/>
    <w:rsid w:val="00C01B52"/>
    <w:rsid w:val="00C0222E"/>
    <w:rsid w:val="00C02634"/>
    <w:rsid w:val="00C0387A"/>
    <w:rsid w:val="00C0398A"/>
    <w:rsid w:val="00C03C9F"/>
    <w:rsid w:val="00C0420F"/>
    <w:rsid w:val="00C04595"/>
    <w:rsid w:val="00C049BC"/>
    <w:rsid w:val="00C04D71"/>
    <w:rsid w:val="00C050DB"/>
    <w:rsid w:val="00C06666"/>
    <w:rsid w:val="00C06C13"/>
    <w:rsid w:val="00C06F9D"/>
    <w:rsid w:val="00C071D8"/>
    <w:rsid w:val="00C074CA"/>
    <w:rsid w:val="00C07B52"/>
    <w:rsid w:val="00C07F30"/>
    <w:rsid w:val="00C07FB9"/>
    <w:rsid w:val="00C10750"/>
    <w:rsid w:val="00C10974"/>
    <w:rsid w:val="00C10EB2"/>
    <w:rsid w:val="00C112F8"/>
    <w:rsid w:val="00C11333"/>
    <w:rsid w:val="00C1189D"/>
    <w:rsid w:val="00C11ABA"/>
    <w:rsid w:val="00C1246D"/>
    <w:rsid w:val="00C12496"/>
    <w:rsid w:val="00C12C03"/>
    <w:rsid w:val="00C12EFC"/>
    <w:rsid w:val="00C130E8"/>
    <w:rsid w:val="00C133D0"/>
    <w:rsid w:val="00C13442"/>
    <w:rsid w:val="00C1366B"/>
    <w:rsid w:val="00C1469A"/>
    <w:rsid w:val="00C148E9"/>
    <w:rsid w:val="00C14A71"/>
    <w:rsid w:val="00C14B1C"/>
    <w:rsid w:val="00C14C24"/>
    <w:rsid w:val="00C14E55"/>
    <w:rsid w:val="00C155C9"/>
    <w:rsid w:val="00C15792"/>
    <w:rsid w:val="00C15A61"/>
    <w:rsid w:val="00C16047"/>
    <w:rsid w:val="00C16E4C"/>
    <w:rsid w:val="00C20058"/>
    <w:rsid w:val="00C20872"/>
    <w:rsid w:val="00C20C2B"/>
    <w:rsid w:val="00C21DE2"/>
    <w:rsid w:val="00C22D28"/>
    <w:rsid w:val="00C22F14"/>
    <w:rsid w:val="00C238E7"/>
    <w:rsid w:val="00C23BD9"/>
    <w:rsid w:val="00C23DE0"/>
    <w:rsid w:val="00C23E3F"/>
    <w:rsid w:val="00C24234"/>
    <w:rsid w:val="00C247D8"/>
    <w:rsid w:val="00C248E4"/>
    <w:rsid w:val="00C24E48"/>
    <w:rsid w:val="00C267A9"/>
    <w:rsid w:val="00C2769B"/>
    <w:rsid w:val="00C30357"/>
    <w:rsid w:val="00C308AD"/>
    <w:rsid w:val="00C308E2"/>
    <w:rsid w:val="00C30B8E"/>
    <w:rsid w:val="00C30CE5"/>
    <w:rsid w:val="00C30E75"/>
    <w:rsid w:val="00C312C1"/>
    <w:rsid w:val="00C3147D"/>
    <w:rsid w:val="00C3182B"/>
    <w:rsid w:val="00C31EAC"/>
    <w:rsid w:val="00C31ED5"/>
    <w:rsid w:val="00C3212D"/>
    <w:rsid w:val="00C321BE"/>
    <w:rsid w:val="00C32A23"/>
    <w:rsid w:val="00C334CC"/>
    <w:rsid w:val="00C33988"/>
    <w:rsid w:val="00C342EB"/>
    <w:rsid w:val="00C3468F"/>
    <w:rsid w:val="00C35560"/>
    <w:rsid w:val="00C35754"/>
    <w:rsid w:val="00C36452"/>
    <w:rsid w:val="00C36C4E"/>
    <w:rsid w:val="00C37037"/>
    <w:rsid w:val="00C370A7"/>
    <w:rsid w:val="00C3716C"/>
    <w:rsid w:val="00C37C37"/>
    <w:rsid w:val="00C40878"/>
    <w:rsid w:val="00C408BB"/>
    <w:rsid w:val="00C40A89"/>
    <w:rsid w:val="00C40B12"/>
    <w:rsid w:val="00C40BF0"/>
    <w:rsid w:val="00C40DA6"/>
    <w:rsid w:val="00C40EAB"/>
    <w:rsid w:val="00C411AB"/>
    <w:rsid w:val="00C425AA"/>
    <w:rsid w:val="00C433DF"/>
    <w:rsid w:val="00C440F1"/>
    <w:rsid w:val="00C44303"/>
    <w:rsid w:val="00C44393"/>
    <w:rsid w:val="00C448B7"/>
    <w:rsid w:val="00C44D33"/>
    <w:rsid w:val="00C44DD5"/>
    <w:rsid w:val="00C45145"/>
    <w:rsid w:val="00C46202"/>
    <w:rsid w:val="00C46AD8"/>
    <w:rsid w:val="00C46E5A"/>
    <w:rsid w:val="00C47132"/>
    <w:rsid w:val="00C47492"/>
    <w:rsid w:val="00C47624"/>
    <w:rsid w:val="00C47901"/>
    <w:rsid w:val="00C47F66"/>
    <w:rsid w:val="00C500FA"/>
    <w:rsid w:val="00C50869"/>
    <w:rsid w:val="00C50A9A"/>
    <w:rsid w:val="00C51416"/>
    <w:rsid w:val="00C51601"/>
    <w:rsid w:val="00C51E4B"/>
    <w:rsid w:val="00C5234C"/>
    <w:rsid w:val="00C52A3C"/>
    <w:rsid w:val="00C52CBE"/>
    <w:rsid w:val="00C535D4"/>
    <w:rsid w:val="00C53602"/>
    <w:rsid w:val="00C53C92"/>
    <w:rsid w:val="00C53D3B"/>
    <w:rsid w:val="00C54BBD"/>
    <w:rsid w:val="00C55023"/>
    <w:rsid w:val="00C55728"/>
    <w:rsid w:val="00C55858"/>
    <w:rsid w:val="00C5585F"/>
    <w:rsid w:val="00C558D9"/>
    <w:rsid w:val="00C57223"/>
    <w:rsid w:val="00C572E4"/>
    <w:rsid w:val="00C5742B"/>
    <w:rsid w:val="00C57D80"/>
    <w:rsid w:val="00C6003B"/>
    <w:rsid w:val="00C6012A"/>
    <w:rsid w:val="00C61246"/>
    <w:rsid w:val="00C612F0"/>
    <w:rsid w:val="00C61788"/>
    <w:rsid w:val="00C61AEE"/>
    <w:rsid w:val="00C624B0"/>
    <w:rsid w:val="00C62B8A"/>
    <w:rsid w:val="00C62BCA"/>
    <w:rsid w:val="00C6306E"/>
    <w:rsid w:val="00C63411"/>
    <w:rsid w:val="00C63946"/>
    <w:rsid w:val="00C63D40"/>
    <w:rsid w:val="00C63DCF"/>
    <w:rsid w:val="00C640D9"/>
    <w:rsid w:val="00C644A0"/>
    <w:rsid w:val="00C6488D"/>
    <w:rsid w:val="00C64CCF"/>
    <w:rsid w:val="00C65055"/>
    <w:rsid w:val="00C651B1"/>
    <w:rsid w:val="00C66159"/>
    <w:rsid w:val="00C66BDF"/>
    <w:rsid w:val="00C66EE0"/>
    <w:rsid w:val="00C67942"/>
    <w:rsid w:val="00C67A89"/>
    <w:rsid w:val="00C67B57"/>
    <w:rsid w:val="00C67BE1"/>
    <w:rsid w:val="00C67E7E"/>
    <w:rsid w:val="00C67F35"/>
    <w:rsid w:val="00C700B2"/>
    <w:rsid w:val="00C700F9"/>
    <w:rsid w:val="00C703E7"/>
    <w:rsid w:val="00C704CE"/>
    <w:rsid w:val="00C70CCA"/>
    <w:rsid w:val="00C715A0"/>
    <w:rsid w:val="00C7174D"/>
    <w:rsid w:val="00C717FE"/>
    <w:rsid w:val="00C7187E"/>
    <w:rsid w:val="00C72794"/>
    <w:rsid w:val="00C72869"/>
    <w:rsid w:val="00C7318D"/>
    <w:rsid w:val="00C74011"/>
    <w:rsid w:val="00C74AD3"/>
    <w:rsid w:val="00C74FA6"/>
    <w:rsid w:val="00C74FB7"/>
    <w:rsid w:val="00C7504C"/>
    <w:rsid w:val="00C75318"/>
    <w:rsid w:val="00C759C1"/>
    <w:rsid w:val="00C75DD0"/>
    <w:rsid w:val="00C76001"/>
    <w:rsid w:val="00C764DB"/>
    <w:rsid w:val="00C76BB7"/>
    <w:rsid w:val="00C77247"/>
    <w:rsid w:val="00C77637"/>
    <w:rsid w:val="00C77793"/>
    <w:rsid w:val="00C77A2F"/>
    <w:rsid w:val="00C804E1"/>
    <w:rsid w:val="00C8198A"/>
    <w:rsid w:val="00C81C09"/>
    <w:rsid w:val="00C81C3F"/>
    <w:rsid w:val="00C81E1A"/>
    <w:rsid w:val="00C81FA4"/>
    <w:rsid w:val="00C826FF"/>
    <w:rsid w:val="00C83017"/>
    <w:rsid w:val="00C832E7"/>
    <w:rsid w:val="00C83582"/>
    <w:rsid w:val="00C8369D"/>
    <w:rsid w:val="00C83AA4"/>
    <w:rsid w:val="00C842C7"/>
    <w:rsid w:val="00C8469F"/>
    <w:rsid w:val="00C8532E"/>
    <w:rsid w:val="00C8563E"/>
    <w:rsid w:val="00C85966"/>
    <w:rsid w:val="00C85B31"/>
    <w:rsid w:val="00C85CEE"/>
    <w:rsid w:val="00C85D3F"/>
    <w:rsid w:val="00C85DE4"/>
    <w:rsid w:val="00C860B1"/>
    <w:rsid w:val="00C866F6"/>
    <w:rsid w:val="00C86A4F"/>
    <w:rsid w:val="00C86D42"/>
    <w:rsid w:val="00C86E3F"/>
    <w:rsid w:val="00C878E8"/>
    <w:rsid w:val="00C8793D"/>
    <w:rsid w:val="00C87B1E"/>
    <w:rsid w:val="00C87BB7"/>
    <w:rsid w:val="00C9006B"/>
    <w:rsid w:val="00C90091"/>
    <w:rsid w:val="00C9096D"/>
    <w:rsid w:val="00C90E50"/>
    <w:rsid w:val="00C910DB"/>
    <w:rsid w:val="00C9133E"/>
    <w:rsid w:val="00C91399"/>
    <w:rsid w:val="00C91AD4"/>
    <w:rsid w:val="00C92600"/>
    <w:rsid w:val="00C93528"/>
    <w:rsid w:val="00C93782"/>
    <w:rsid w:val="00C94032"/>
    <w:rsid w:val="00C940D3"/>
    <w:rsid w:val="00C9439C"/>
    <w:rsid w:val="00C94EA9"/>
    <w:rsid w:val="00C95011"/>
    <w:rsid w:val="00C953B2"/>
    <w:rsid w:val="00C95513"/>
    <w:rsid w:val="00C9591A"/>
    <w:rsid w:val="00C95AFA"/>
    <w:rsid w:val="00C95C89"/>
    <w:rsid w:val="00C97834"/>
    <w:rsid w:val="00C97AEC"/>
    <w:rsid w:val="00C97CDD"/>
    <w:rsid w:val="00C97E1B"/>
    <w:rsid w:val="00C97F5B"/>
    <w:rsid w:val="00CA03AB"/>
    <w:rsid w:val="00CA0668"/>
    <w:rsid w:val="00CA0B0A"/>
    <w:rsid w:val="00CA0EB2"/>
    <w:rsid w:val="00CA137F"/>
    <w:rsid w:val="00CA1540"/>
    <w:rsid w:val="00CA17EE"/>
    <w:rsid w:val="00CA282B"/>
    <w:rsid w:val="00CA3208"/>
    <w:rsid w:val="00CA3355"/>
    <w:rsid w:val="00CA3574"/>
    <w:rsid w:val="00CA3647"/>
    <w:rsid w:val="00CA421E"/>
    <w:rsid w:val="00CA4DA6"/>
    <w:rsid w:val="00CA55CB"/>
    <w:rsid w:val="00CA5E84"/>
    <w:rsid w:val="00CA6330"/>
    <w:rsid w:val="00CA6993"/>
    <w:rsid w:val="00CA7945"/>
    <w:rsid w:val="00CA7A4C"/>
    <w:rsid w:val="00CB0F17"/>
    <w:rsid w:val="00CB109B"/>
    <w:rsid w:val="00CB161A"/>
    <w:rsid w:val="00CB1915"/>
    <w:rsid w:val="00CB1B6F"/>
    <w:rsid w:val="00CB1BC6"/>
    <w:rsid w:val="00CB1D97"/>
    <w:rsid w:val="00CB2098"/>
    <w:rsid w:val="00CB2250"/>
    <w:rsid w:val="00CB289A"/>
    <w:rsid w:val="00CB297B"/>
    <w:rsid w:val="00CB328A"/>
    <w:rsid w:val="00CB3D0A"/>
    <w:rsid w:val="00CB4A4F"/>
    <w:rsid w:val="00CB4B49"/>
    <w:rsid w:val="00CB5982"/>
    <w:rsid w:val="00CB59B4"/>
    <w:rsid w:val="00CB5FCD"/>
    <w:rsid w:val="00CB6007"/>
    <w:rsid w:val="00CB6081"/>
    <w:rsid w:val="00CB6AE1"/>
    <w:rsid w:val="00CB7142"/>
    <w:rsid w:val="00CB7ABE"/>
    <w:rsid w:val="00CB7ADB"/>
    <w:rsid w:val="00CC0F94"/>
    <w:rsid w:val="00CC1570"/>
    <w:rsid w:val="00CC258F"/>
    <w:rsid w:val="00CC2817"/>
    <w:rsid w:val="00CC2A25"/>
    <w:rsid w:val="00CC2B3A"/>
    <w:rsid w:val="00CC2C3B"/>
    <w:rsid w:val="00CC30C8"/>
    <w:rsid w:val="00CC33C5"/>
    <w:rsid w:val="00CC3C16"/>
    <w:rsid w:val="00CC3C75"/>
    <w:rsid w:val="00CC3E76"/>
    <w:rsid w:val="00CC48FA"/>
    <w:rsid w:val="00CC4B73"/>
    <w:rsid w:val="00CC4C25"/>
    <w:rsid w:val="00CC608F"/>
    <w:rsid w:val="00CC60EA"/>
    <w:rsid w:val="00CC77F2"/>
    <w:rsid w:val="00CC78DD"/>
    <w:rsid w:val="00CC79C4"/>
    <w:rsid w:val="00CC7A0B"/>
    <w:rsid w:val="00CC7AF9"/>
    <w:rsid w:val="00CD0BA4"/>
    <w:rsid w:val="00CD10DC"/>
    <w:rsid w:val="00CD17D5"/>
    <w:rsid w:val="00CD185E"/>
    <w:rsid w:val="00CD19E9"/>
    <w:rsid w:val="00CD1D2C"/>
    <w:rsid w:val="00CD216C"/>
    <w:rsid w:val="00CD2477"/>
    <w:rsid w:val="00CD28B0"/>
    <w:rsid w:val="00CD28FB"/>
    <w:rsid w:val="00CD34B3"/>
    <w:rsid w:val="00CD36FE"/>
    <w:rsid w:val="00CD38EC"/>
    <w:rsid w:val="00CD3933"/>
    <w:rsid w:val="00CD3E25"/>
    <w:rsid w:val="00CD44D3"/>
    <w:rsid w:val="00CD4F85"/>
    <w:rsid w:val="00CD50E6"/>
    <w:rsid w:val="00CD5205"/>
    <w:rsid w:val="00CD54D9"/>
    <w:rsid w:val="00CD54DA"/>
    <w:rsid w:val="00CD6B8C"/>
    <w:rsid w:val="00CD73DC"/>
    <w:rsid w:val="00CD7903"/>
    <w:rsid w:val="00CD7FF3"/>
    <w:rsid w:val="00CE02CC"/>
    <w:rsid w:val="00CE031D"/>
    <w:rsid w:val="00CE047F"/>
    <w:rsid w:val="00CE0834"/>
    <w:rsid w:val="00CE11FE"/>
    <w:rsid w:val="00CE1B9B"/>
    <w:rsid w:val="00CE1C9D"/>
    <w:rsid w:val="00CE1D1B"/>
    <w:rsid w:val="00CE279C"/>
    <w:rsid w:val="00CE27A2"/>
    <w:rsid w:val="00CE2CB7"/>
    <w:rsid w:val="00CE2E5D"/>
    <w:rsid w:val="00CE3706"/>
    <w:rsid w:val="00CE37B6"/>
    <w:rsid w:val="00CE3D05"/>
    <w:rsid w:val="00CE3F73"/>
    <w:rsid w:val="00CE429E"/>
    <w:rsid w:val="00CE4FAD"/>
    <w:rsid w:val="00CE4FD9"/>
    <w:rsid w:val="00CE58BA"/>
    <w:rsid w:val="00CE5FC5"/>
    <w:rsid w:val="00CE6C47"/>
    <w:rsid w:val="00CE7769"/>
    <w:rsid w:val="00CE77E3"/>
    <w:rsid w:val="00CF038B"/>
    <w:rsid w:val="00CF0C11"/>
    <w:rsid w:val="00CF0D88"/>
    <w:rsid w:val="00CF126E"/>
    <w:rsid w:val="00CF1B95"/>
    <w:rsid w:val="00CF2654"/>
    <w:rsid w:val="00CF282A"/>
    <w:rsid w:val="00CF2A17"/>
    <w:rsid w:val="00CF2C79"/>
    <w:rsid w:val="00CF2F34"/>
    <w:rsid w:val="00CF3635"/>
    <w:rsid w:val="00CF37E9"/>
    <w:rsid w:val="00CF3B97"/>
    <w:rsid w:val="00CF4229"/>
    <w:rsid w:val="00CF4433"/>
    <w:rsid w:val="00CF5872"/>
    <w:rsid w:val="00CF58D2"/>
    <w:rsid w:val="00CF5E0E"/>
    <w:rsid w:val="00CF5EFF"/>
    <w:rsid w:val="00CF6890"/>
    <w:rsid w:val="00CF6C37"/>
    <w:rsid w:val="00CF7853"/>
    <w:rsid w:val="00CF7E51"/>
    <w:rsid w:val="00D001EF"/>
    <w:rsid w:val="00D00265"/>
    <w:rsid w:val="00D008F3"/>
    <w:rsid w:val="00D01CE6"/>
    <w:rsid w:val="00D02217"/>
    <w:rsid w:val="00D02657"/>
    <w:rsid w:val="00D0266E"/>
    <w:rsid w:val="00D02BD8"/>
    <w:rsid w:val="00D0333E"/>
    <w:rsid w:val="00D03C4A"/>
    <w:rsid w:val="00D041F1"/>
    <w:rsid w:val="00D04A21"/>
    <w:rsid w:val="00D04E0B"/>
    <w:rsid w:val="00D051B5"/>
    <w:rsid w:val="00D05A65"/>
    <w:rsid w:val="00D0635D"/>
    <w:rsid w:val="00D06E2A"/>
    <w:rsid w:val="00D074AC"/>
    <w:rsid w:val="00D07AD8"/>
    <w:rsid w:val="00D07CB5"/>
    <w:rsid w:val="00D07D1F"/>
    <w:rsid w:val="00D07D31"/>
    <w:rsid w:val="00D101D9"/>
    <w:rsid w:val="00D1126C"/>
    <w:rsid w:val="00D11A14"/>
    <w:rsid w:val="00D12228"/>
    <w:rsid w:val="00D12A1E"/>
    <w:rsid w:val="00D133F8"/>
    <w:rsid w:val="00D14294"/>
    <w:rsid w:val="00D146FC"/>
    <w:rsid w:val="00D14B54"/>
    <w:rsid w:val="00D14C15"/>
    <w:rsid w:val="00D14F34"/>
    <w:rsid w:val="00D150D8"/>
    <w:rsid w:val="00D15336"/>
    <w:rsid w:val="00D15987"/>
    <w:rsid w:val="00D15E24"/>
    <w:rsid w:val="00D16DF7"/>
    <w:rsid w:val="00D16F70"/>
    <w:rsid w:val="00D1768D"/>
    <w:rsid w:val="00D17B88"/>
    <w:rsid w:val="00D17B8B"/>
    <w:rsid w:val="00D17DCF"/>
    <w:rsid w:val="00D17E03"/>
    <w:rsid w:val="00D2071F"/>
    <w:rsid w:val="00D20F6E"/>
    <w:rsid w:val="00D211D7"/>
    <w:rsid w:val="00D21313"/>
    <w:rsid w:val="00D213C7"/>
    <w:rsid w:val="00D22168"/>
    <w:rsid w:val="00D22213"/>
    <w:rsid w:val="00D22988"/>
    <w:rsid w:val="00D22C20"/>
    <w:rsid w:val="00D22CC8"/>
    <w:rsid w:val="00D22E0B"/>
    <w:rsid w:val="00D230F3"/>
    <w:rsid w:val="00D2318D"/>
    <w:rsid w:val="00D23463"/>
    <w:rsid w:val="00D23520"/>
    <w:rsid w:val="00D242C6"/>
    <w:rsid w:val="00D244AF"/>
    <w:rsid w:val="00D247B7"/>
    <w:rsid w:val="00D24BD5"/>
    <w:rsid w:val="00D255C8"/>
    <w:rsid w:val="00D26BF4"/>
    <w:rsid w:val="00D26F45"/>
    <w:rsid w:val="00D271E5"/>
    <w:rsid w:val="00D27282"/>
    <w:rsid w:val="00D2741E"/>
    <w:rsid w:val="00D27517"/>
    <w:rsid w:val="00D27A15"/>
    <w:rsid w:val="00D27FC7"/>
    <w:rsid w:val="00D3001E"/>
    <w:rsid w:val="00D3092A"/>
    <w:rsid w:val="00D30AFC"/>
    <w:rsid w:val="00D30B3A"/>
    <w:rsid w:val="00D31601"/>
    <w:rsid w:val="00D329A7"/>
    <w:rsid w:val="00D32C4F"/>
    <w:rsid w:val="00D337A9"/>
    <w:rsid w:val="00D34183"/>
    <w:rsid w:val="00D349E6"/>
    <w:rsid w:val="00D34C07"/>
    <w:rsid w:val="00D353D9"/>
    <w:rsid w:val="00D356B3"/>
    <w:rsid w:val="00D35C9C"/>
    <w:rsid w:val="00D36338"/>
    <w:rsid w:val="00D36A63"/>
    <w:rsid w:val="00D36BE7"/>
    <w:rsid w:val="00D37DA5"/>
    <w:rsid w:val="00D37F4C"/>
    <w:rsid w:val="00D402A3"/>
    <w:rsid w:val="00D40AE2"/>
    <w:rsid w:val="00D41262"/>
    <w:rsid w:val="00D41D66"/>
    <w:rsid w:val="00D42EC3"/>
    <w:rsid w:val="00D4330F"/>
    <w:rsid w:val="00D43AB3"/>
    <w:rsid w:val="00D442DA"/>
    <w:rsid w:val="00D44428"/>
    <w:rsid w:val="00D44487"/>
    <w:rsid w:val="00D44C3F"/>
    <w:rsid w:val="00D44FFE"/>
    <w:rsid w:val="00D4551E"/>
    <w:rsid w:val="00D4559A"/>
    <w:rsid w:val="00D45925"/>
    <w:rsid w:val="00D459B6"/>
    <w:rsid w:val="00D45A4D"/>
    <w:rsid w:val="00D45A54"/>
    <w:rsid w:val="00D45D32"/>
    <w:rsid w:val="00D4631E"/>
    <w:rsid w:val="00D4701F"/>
    <w:rsid w:val="00D47242"/>
    <w:rsid w:val="00D479F2"/>
    <w:rsid w:val="00D50142"/>
    <w:rsid w:val="00D501B4"/>
    <w:rsid w:val="00D50C22"/>
    <w:rsid w:val="00D50CF9"/>
    <w:rsid w:val="00D50DBF"/>
    <w:rsid w:val="00D50EC6"/>
    <w:rsid w:val="00D51B1F"/>
    <w:rsid w:val="00D51EAA"/>
    <w:rsid w:val="00D51FD5"/>
    <w:rsid w:val="00D52395"/>
    <w:rsid w:val="00D523BE"/>
    <w:rsid w:val="00D52B5F"/>
    <w:rsid w:val="00D52C26"/>
    <w:rsid w:val="00D52CB4"/>
    <w:rsid w:val="00D52DDE"/>
    <w:rsid w:val="00D52E88"/>
    <w:rsid w:val="00D535CF"/>
    <w:rsid w:val="00D536BF"/>
    <w:rsid w:val="00D53932"/>
    <w:rsid w:val="00D549F2"/>
    <w:rsid w:val="00D56898"/>
    <w:rsid w:val="00D56ADB"/>
    <w:rsid w:val="00D57D05"/>
    <w:rsid w:val="00D61141"/>
    <w:rsid w:val="00D61520"/>
    <w:rsid w:val="00D61567"/>
    <w:rsid w:val="00D6177A"/>
    <w:rsid w:val="00D6183A"/>
    <w:rsid w:val="00D61CF0"/>
    <w:rsid w:val="00D61D10"/>
    <w:rsid w:val="00D62A1B"/>
    <w:rsid w:val="00D6322F"/>
    <w:rsid w:val="00D637E7"/>
    <w:rsid w:val="00D63840"/>
    <w:rsid w:val="00D64361"/>
    <w:rsid w:val="00D64AAF"/>
    <w:rsid w:val="00D64ADE"/>
    <w:rsid w:val="00D65489"/>
    <w:rsid w:val="00D6567A"/>
    <w:rsid w:val="00D659E4"/>
    <w:rsid w:val="00D65E99"/>
    <w:rsid w:val="00D661E3"/>
    <w:rsid w:val="00D66422"/>
    <w:rsid w:val="00D6673E"/>
    <w:rsid w:val="00D67BCF"/>
    <w:rsid w:val="00D67EF9"/>
    <w:rsid w:val="00D709AD"/>
    <w:rsid w:val="00D70F59"/>
    <w:rsid w:val="00D7111B"/>
    <w:rsid w:val="00D711CB"/>
    <w:rsid w:val="00D71682"/>
    <w:rsid w:val="00D72641"/>
    <w:rsid w:val="00D72A22"/>
    <w:rsid w:val="00D739A3"/>
    <w:rsid w:val="00D73AF1"/>
    <w:rsid w:val="00D740A8"/>
    <w:rsid w:val="00D74585"/>
    <w:rsid w:val="00D745B3"/>
    <w:rsid w:val="00D74CF3"/>
    <w:rsid w:val="00D74EA2"/>
    <w:rsid w:val="00D75129"/>
    <w:rsid w:val="00D75524"/>
    <w:rsid w:val="00D75998"/>
    <w:rsid w:val="00D75B60"/>
    <w:rsid w:val="00D76FE7"/>
    <w:rsid w:val="00D77100"/>
    <w:rsid w:val="00D7763C"/>
    <w:rsid w:val="00D77997"/>
    <w:rsid w:val="00D77C3D"/>
    <w:rsid w:val="00D801B6"/>
    <w:rsid w:val="00D804A4"/>
    <w:rsid w:val="00D810DA"/>
    <w:rsid w:val="00D81292"/>
    <w:rsid w:val="00D8143D"/>
    <w:rsid w:val="00D81BE3"/>
    <w:rsid w:val="00D829CD"/>
    <w:rsid w:val="00D82DE9"/>
    <w:rsid w:val="00D830FD"/>
    <w:rsid w:val="00D83390"/>
    <w:rsid w:val="00D835A7"/>
    <w:rsid w:val="00D83759"/>
    <w:rsid w:val="00D837EF"/>
    <w:rsid w:val="00D83A80"/>
    <w:rsid w:val="00D83FA5"/>
    <w:rsid w:val="00D84ABE"/>
    <w:rsid w:val="00D850A2"/>
    <w:rsid w:val="00D85255"/>
    <w:rsid w:val="00D855E5"/>
    <w:rsid w:val="00D8675F"/>
    <w:rsid w:val="00D86D1E"/>
    <w:rsid w:val="00D86E93"/>
    <w:rsid w:val="00D87420"/>
    <w:rsid w:val="00D87B09"/>
    <w:rsid w:val="00D87B2E"/>
    <w:rsid w:val="00D87FDF"/>
    <w:rsid w:val="00D90107"/>
    <w:rsid w:val="00D9077F"/>
    <w:rsid w:val="00D9186D"/>
    <w:rsid w:val="00D91CA9"/>
    <w:rsid w:val="00D91D13"/>
    <w:rsid w:val="00D91D38"/>
    <w:rsid w:val="00D91E64"/>
    <w:rsid w:val="00D9219F"/>
    <w:rsid w:val="00D927DD"/>
    <w:rsid w:val="00D92BA5"/>
    <w:rsid w:val="00D92F8D"/>
    <w:rsid w:val="00D936AD"/>
    <w:rsid w:val="00D939EE"/>
    <w:rsid w:val="00D95501"/>
    <w:rsid w:val="00D95823"/>
    <w:rsid w:val="00D95835"/>
    <w:rsid w:val="00D95C51"/>
    <w:rsid w:val="00D95E59"/>
    <w:rsid w:val="00D96608"/>
    <w:rsid w:val="00D974CF"/>
    <w:rsid w:val="00D976F8"/>
    <w:rsid w:val="00D97F5F"/>
    <w:rsid w:val="00DA0944"/>
    <w:rsid w:val="00DA0F36"/>
    <w:rsid w:val="00DA181E"/>
    <w:rsid w:val="00DA1A1C"/>
    <w:rsid w:val="00DA1EF0"/>
    <w:rsid w:val="00DA21E6"/>
    <w:rsid w:val="00DA278D"/>
    <w:rsid w:val="00DA2F4B"/>
    <w:rsid w:val="00DA2F8B"/>
    <w:rsid w:val="00DA3253"/>
    <w:rsid w:val="00DA39B7"/>
    <w:rsid w:val="00DA3C25"/>
    <w:rsid w:val="00DA496E"/>
    <w:rsid w:val="00DA4F4A"/>
    <w:rsid w:val="00DA5358"/>
    <w:rsid w:val="00DA5613"/>
    <w:rsid w:val="00DA5940"/>
    <w:rsid w:val="00DA5C64"/>
    <w:rsid w:val="00DA5EA6"/>
    <w:rsid w:val="00DA5F73"/>
    <w:rsid w:val="00DA5F8D"/>
    <w:rsid w:val="00DA618B"/>
    <w:rsid w:val="00DA69BE"/>
    <w:rsid w:val="00DA6C8E"/>
    <w:rsid w:val="00DA7549"/>
    <w:rsid w:val="00DA7571"/>
    <w:rsid w:val="00DA7628"/>
    <w:rsid w:val="00DA7764"/>
    <w:rsid w:val="00DA78B6"/>
    <w:rsid w:val="00DB05E3"/>
    <w:rsid w:val="00DB0C15"/>
    <w:rsid w:val="00DB11A3"/>
    <w:rsid w:val="00DB139C"/>
    <w:rsid w:val="00DB148D"/>
    <w:rsid w:val="00DB1494"/>
    <w:rsid w:val="00DB1667"/>
    <w:rsid w:val="00DB1D9A"/>
    <w:rsid w:val="00DB1EA6"/>
    <w:rsid w:val="00DB22EC"/>
    <w:rsid w:val="00DB2842"/>
    <w:rsid w:val="00DB2979"/>
    <w:rsid w:val="00DB3A7F"/>
    <w:rsid w:val="00DB41CD"/>
    <w:rsid w:val="00DB477E"/>
    <w:rsid w:val="00DB6970"/>
    <w:rsid w:val="00DB6E92"/>
    <w:rsid w:val="00DB7753"/>
    <w:rsid w:val="00DC019B"/>
    <w:rsid w:val="00DC0695"/>
    <w:rsid w:val="00DC0696"/>
    <w:rsid w:val="00DC06CC"/>
    <w:rsid w:val="00DC0920"/>
    <w:rsid w:val="00DC13DC"/>
    <w:rsid w:val="00DC2451"/>
    <w:rsid w:val="00DC2982"/>
    <w:rsid w:val="00DC2BB3"/>
    <w:rsid w:val="00DC2DAB"/>
    <w:rsid w:val="00DC3626"/>
    <w:rsid w:val="00DC395E"/>
    <w:rsid w:val="00DC3FE7"/>
    <w:rsid w:val="00DC4673"/>
    <w:rsid w:val="00DC4AAC"/>
    <w:rsid w:val="00DC4CE9"/>
    <w:rsid w:val="00DC4E38"/>
    <w:rsid w:val="00DC5325"/>
    <w:rsid w:val="00DC5349"/>
    <w:rsid w:val="00DC5542"/>
    <w:rsid w:val="00DC57B7"/>
    <w:rsid w:val="00DC5A5A"/>
    <w:rsid w:val="00DC5C08"/>
    <w:rsid w:val="00DC5CB3"/>
    <w:rsid w:val="00DC5D2A"/>
    <w:rsid w:val="00DC5E1A"/>
    <w:rsid w:val="00DC634F"/>
    <w:rsid w:val="00DC64C1"/>
    <w:rsid w:val="00DC6556"/>
    <w:rsid w:val="00DC6DB7"/>
    <w:rsid w:val="00DC6F77"/>
    <w:rsid w:val="00DC7342"/>
    <w:rsid w:val="00DD05DB"/>
    <w:rsid w:val="00DD0974"/>
    <w:rsid w:val="00DD1155"/>
    <w:rsid w:val="00DD1447"/>
    <w:rsid w:val="00DD176E"/>
    <w:rsid w:val="00DD18D0"/>
    <w:rsid w:val="00DD1BE8"/>
    <w:rsid w:val="00DD1EA0"/>
    <w:rsid w:val="00DD22C5"/>
    <w:rsid w:val="00DD2F75"/>
    <w:rsid w:val="00DD31B7"/>
    <w:rsid w:val="00DD32B7"/>
    <w:rsid w:val="00DD359C"/>
    <w:rsid w:val="00DD38AC"/>
    <w:rsid w:val="00DD4059"/>
    <w:rsid w:val="00DD44D5"/>
    <w:rsid w:val="00DD4C91"/>
    <w:rsid w:val="00DD50C5"/>
    <w:rsid w:val="00DD5587"/>
    <w:rsid w:val="00DD63C1"/>
    <w:rsid w:val="00DD6E7D"/>
    <w:rsid w:val="00DD70DB"/>
    <w:rsid w:val="00DD7F04"/>
    <w:rsid w:val="00DE041D"/>
    <w:rsid w:val="00DE0744"/>
    <w:rsid w:val="00DE0912"/>
    <w:rsid w:val="00DE10B9"/>
    <w:rsid w:val="00DE22DF"/>
    <w:rsid w:val="00DE26C1"/>
    <w:rsid w:val="00DE3EA2"/>
    <w:rsid w:val="00DE40EC"/>
    <w:rsid w:val="00DE42AF"/>
    <w:rsid w:val="00DE43B2"/>
    <w:rsid w:val="00DE44FB"/>
    <w:rsid w:val="00DE4C68"/>
    <w:rsid w:val="00DE517F"/>
    <w:rsid w:val="00DE583F"/>
    <w:rsid w:val="00DE653B"/>
    <w:rsid w:val="00DE69D6"/>
    <w:rsid w:val="00DE7412"/>
    <w:rsid w:val="00DF017C"/>
    <w:rsid w:val="00DF0225"/>
    <w:rsid w:val="00DF0952"/>
    <w:rsid w:val="00DF0F6F"/>
    <w:rsid w:val="00DF12D8"/>
    <w:rsid w:val="00DF1463"/>
    <w:rsid w:val="00DF2B2F"/>
    <w:rsid w:val="00DF383A"/>
    <w:rsid w:val="00DF3B17"/>
    <w:rsid w:val="00DF419D"/>
    <w:rsid w:val="00DF4492"/>
    <w:rsid w:val="00DF4698"/>
    <w:rsid w:val="00DF491F"/>
    <w:rsid w:val="00DF4A7D"/>
    <w:rsid w:val="00DF50AD"/>
    <w:rsid w:val="00DF5195"/>
    <w:rsid w:val="00DF5D75"/>
    <w:rsid w:val="00DF5E65"/>
    <w:rsid w:val="00DF5EBF"/>
    <w:rsid w:val="00DF601B"/>
    <w:rsid w:val="00DF714C"/>
    <w:rsid w:val="00E00051"/>
    <w:rsid w:val="00E017A1"/>
    <w:rsid w:val="00E02093"/>
    <w:rsid w:val="00E0295C"/>
    <w:rsid w:val="00E02DFF"/>
    <w:rsid w:val="00E031E4"/>
    <w:rsid w:val="00E03503"/>
    <w:rsid w:val="00E03A48"/>
    <w:rsid w:val="00E03A69"/>
    <w:rsid w:val="00E03D1D"/>
    <w:rsid w:val="00E049D8"/>
    <w:rsid w:val="00E0561C"/>
    <w:rsid w:val="00E05679"/>
    <w:rsid w:val="00E0575B"/>
    <w:rsid w:val="00E0640A"/>
    <w:rsid w:val="00E10CA5"/>
    <w:rsid w:val="00E10E95"/>
    <w:rsid w:val="00E10F77"/>
    <w:rsid w:val="00E11102"/>
    <w:rsid w:val="00E111CE"/>
    <w:rsid w:val="00E12169"/>
    <w:rsid w:val="00E12696"/>
    <w:rsid w:val="00E12C10"/>
    <w:rsid w:val="00E12CD0"/>
    <w:rsid w:val="00E12FC8"/>
    <w:rsid w:val="00E131BD"/>
    <w:rsid w:val="00E133DB"/>
    <w:rsid w:val="00E138FF"/>
    <w:rsid w:val="00E140FB"/>
    <w:rsid w:val="00E14D32"/>
    <w:rsid w:val="00E14FF6"/>
    <w:rsid w:val="00E156FD"/>
    <w:rsid w:val="00E15D18"/>
    <w:rsid w:val="00E15D66"/>
    <w:rsid w:val="00E15DB7"/>
    <w:rsid w:val="00E163FB"/>
    <w:rsid w:val="00E16941"/>
    <w:rsid w:val="00E17235"/>
    <w:rsid w:val="00E1730E"/>
    <w:rsid w:val="00E17509"/>
    <w:rsid w:val="00E17DA9"/>
    <w:rsid w:val="00E20223"/>
    <w:rsid w:val="00E20A78"/>
    <w:rsid w:val="00E20E1E"/>
    <w:rsid w:val="00E210D2"/>
    <w:rsid w:val="00E2133B"/>
    <w:rsid w:val="00E21634"/>
    <w:rsid w:val="00E21716"/>
    <w:rsid w:val="00E21B81"/>
    <w:rsid w:val="00E22006"/>
    <w:rsid w:val="00E2240F"/>
    <w:rsid w:val="00E22A59"/>
    <w:rsid w:val="00E22C83"/>
    <w:rsid w:val="00E23053"/>
    <w:rsid w:val="00E236A0"/>
    <w:rsid w:val="00E247B2"/>
    <w:rsid w:val="00E24853"/>
    <w:rsid w:val="00E252C0"/>
    <w:rsid w:val="00E259DF"/>
    <w:rsid w:val="00E25E1A"/>
    <w:rsid w:val="00E25EBE"/>
    <w:rsid w:val="00E26367"/>
    <w:rsid w:val="00E26E09"/>
    <w:rsid w:val="00E27575"/>
    <w:rsid w:val="00E27B5C"/>
    <w:rsid w:val="00E27B8C"/>
    <w:rsid w:val="00E3021E"/>
    <w:rsid w:val="00E3038D"/>
    <w:rsid w:val="00E30DB4"/>
    <w:rsid w:val="00E31715"/>
    <w:rsid w:val="00E31E1C"/>
    <w:rsid w:val="00E32198"/>
    <w:rsid w:val="00E3247D"/>
    <w:rsid w:val="00E32DDC"/>
    <w:rsid w:val="00E3309F"/>
    <w:rsid w:val="00E33305"/>
    <w:rsid w:val="00E33611"/>
    <w:rsid w:val="00E33A5A"/>
    <w:rsid w:val="00E33A81"/>
    <w:rsid w:val="00E3410C"/>
    <w:rsid w:val="00E341E3"/>
    <w:rsid w:val="00E346CB"/>
    <w:rsid w:val="00E34BBE"/>
    <w:rsid w:val="00E351B6"/>
    <w:rsid w:val="00E352DA"/>
    <w:rsid w:val="00E3546E"/>
    <w:rsid w:val="00E35A74"/>
    <w:rsid w:val="00E3628E"/>
    <w:rsid w:val="00E374AC"/>
    <w:rsid w:val="00E37B6D"/>
    <w:rsid w:val="00E37E76"/>
    <w:rsid w:val="00E40206"/>
    <w:rsid w:val="00E402A9"/>
    <w:rsid w:val="00E4051F"/>
    <w:rsid w:val="00E409D3"/>
    <w:rsid w:val="00E410E7"/>
    <w:rsid w:val="00E41AAA"/>
    <w:rsid w:val="00E420A7"/>
    <w:rsid w:val="00E425AB"/>
    <w:rsid w:val="00E42C7B"/>
    <w:rsid w:val="00E42CB2"/>
    <w:rsid w:val="00E43C15"/>
    <w:rsid w:val="00E44615"/>
    <w:rsid w:val="00E453E2"/>
    <w:rsid w:val="00E45443"/>
    <w:rsid w:val="00E45AA7"/>
    <w:rsid w:val="00E4636B"/>
    <w:rsid w:val="00E46B21"/>
    <w:rsid w:val="00E478C4"/>
    <w:rsid w:val="00E47956"/>
    <w:rsid w:val="00E47A9A"/>
    <w:rsid w:val="00E47D33"/>
    <w:rsid w:val="00E51D75"/>
    <w:rsid w:val="00E52022"/>
    <w:rsid w:val="00E52709"/>
    <w:rsid w:val="00E52B75"/>
    <w:rsid w:val="00E53117"/>
    <w:rsid w:val="00E53911"/>
    <w:rsid w:val="00E53AD9"/>
    <w:rsid w:val="00E53CDD"/>
    <w:rsid w:val="00E54C1A"/>
    <w:rsid w:val="00E556C8"/>
    <w:rsid w:val="00E55D83"/>
    <w:rsid w:val="00E55F54"/>
    <w:rsid w:val="00E5698B"/>
    <w:rsid w:val="00E57317"/>
    <w:rsid w:val="00E57CE3"/>
    <w:rsid w:val="00E57DEC"/>
    <w:rsid w:val="00E57E19"/>
    <w:rsid w:val="00E60075"/>
    <w:rsid w:val="00E605CA"/>
    <w:rsid w:val="00E6187D"/>
    <w:rsid w:val="00E61DAE"/>
    <w:rsid w:val="00E61DD8"/>
    <w:rsid w:val="00E629F7"/>
    <w:rsid w:val="00E62D0A"/>
    <w:rsid w:val="00E62FB4"/>
    <w:rsid w:val="00E6333D"/>
    <w:rsid w:val="00E63409"/>
    <w:rsid w:val="00E63DD3"/>
    <w:rsid w:val="00E64030"/>
    <w:rsid w:val="00E64124"/>
    <w:rsid w:val="00E64D67"/>
    <w:rsid w:val="00E65822"/>
    <w:rsid w:val="00E6628F"/>
    <w:rsid w:val="00E664BD"/>
    <w:rsid w:val="00E6678B"/>
    <w:rsid w:val="00E66B87"/>
    <w:rsid w:val="00E66CE3"/>
    <w:rsid w:val="00E66EFD"/>
    <w:rsid w:val="00E66F81"/>
    <w:rsid w:val="00E67725"/>
    <w:rsid w:val="00E67F44"/>
    <w:rsid w:val="00E7007E"/>
    <w:rsid w:val="00E716F9"/>
    <w:rsid w:val="00E718E9"/>
    <w:rsid w:val="00E7190B"/>
    <w:rsid w:val="00E71D44"/>
    <w:rsid w:val="00E72169"/>
    <w:rsid w:val="00E730C9"/>
    <w:rsid w:val="00E7344A"/>
    <w:rsid w:val="00E7398E"/>
    <w:rsid w:val="00E73B79"/>
    <w:rsid w:val="00E73DD3"/>
    <w:rsid w:val="00E74078"/>
    <w:rsid w:val="00E74BEA"/>
    <w:rsid w:val="00E74E3A"/>
    <w:rsid w:val="00E75AB7"/>
    <w:rsid w:val="00E75D2E"/>
    <w:rsid w:val="00E75D79"/>
    <w:rsid w:val="00E7605E"/>
    <w:rsid w:val="00E760C2"/>
    <w:rsid w:val="00E76186"/>
    <w:rsid w:val="00E7675D"/>
    <w:rsid w:val="00E77B2E"/>
    <w:rsid w:val="00E80386"/>
    <w:rsid w:val="00E80438"/>
    <w:rsid w:val="00E8081B"/>
    <w:rsid w:val="00E808C8"/>
    <w:rsid w:val="00E8111A"/>
    <w:rsid w:val="00E812F9"/>
    <w:rsid w:val="00E813D1"/>
    <w:rsid w:val="00E814C8"/>
    <w:rsid w:val="00E81554"/>
    <w:rsid w:val="00E8156C"/>
    <w:rsid w:val="00E8180F"/>
    <w:rsid w:val="00E81A0D"/>
    <w:rsid w:val="00E8220A"/>
    <w:rsid w:val="00E823D9"/>
    <w:rsid w:val="00E824CB"/>
    <w:rsid w:val="00E8258D"/>
    <w:rsid w:val="00E82613"/>
    <w:rsid w:val="00E826AE"/>
    <w:rsid w:val="00E82912"/>
    <w:rsid w:val="00E83215"/>
    <w:rsid w:val="00E832F9"/>
    <w:rsid w:val="00E83309"/>
    <w:rsid w:val="00E84074"/>
    <w:rsid w:val="00E84109"/>
    <w:rsid w:val="00E84BF8"/>
    <w:rsid w:val="00E84D69"/>
    <w:rsid w:val="00E85C04"/>
    <w:rsid w:val="00E85D1A"/>
    <w:rsid w:val="00E86E07"/>
    <w:rsid w:val="00E86E5E"/>
    <w:rsid w:val="00E8760A"/>
    <w:rsid w:val="00E87EE9"/>
    <w:rsid w:val="00E902F3"/>
    <w:rsid w:val="00E90F76"/>
    <w:rsid w:val="00E91D49"/>
    <w:rsid w:val="00E924F6"/>
    <w:rsid w:val="00E9292D"/>
    <w:rsid w:val="00E92ED0"/>
    <w:rsid w:val="00E92F02"/>
    <w:rsid w:val="00E93238"/>
    <w:rsid w:val="00E937E9"/>
    <w:rsid w:val="00E93F42"/>
    <w:rsid w:val="00E94268"/>
    <w:rsid w:val="00E9519D"/>
    <w:rsid w:val="00E9526A"/>
    <w:rsid w:val="00E9593F"/>
    <w:rsid w:val="00E95A9D"/>
    <w:rsid w:val="00E961FD"/>
    <w:rsid w:val="00E9705F"/>
    <w:rsid w:val="00E9709A"/>
    <w:rsid w:val="00E971B2"/>
    <w:rsid w:val="00E975CA"/>
    <w:rsid w:val="00E97FDF"/>
    <w:rsid w:val="00EA0274"/>
    <w:rsid w:val="00EA05C5"/>
    <w:rsid w:val="00EA155F"/>
    <w:rsid w:val="00EA1708"/>
    <w:rsid w:val="00EA19BD"/>
    <w:rsid w:val="00EA1AE3"/>
    <w:rsid w:val="00EA1BB6"/>
    <w:rsid w:val="00EA1CC0"/>
    <w:rsid w:val="00EA1E85"/>
    <w:rsid w:val="00EA20BE"/>
    <w:rsid w:val="00EA2F5F"/>
    <w:rsid w:val="00EA3514"/>
    <w:rsid w:val="00EA3D4C"/>
    <w:rsid w:val="00EA42C7"/>
    <w:rsid w:val="00EA42DA"/>
    <w:rsid w:val="00EA4552"/>
    <w:rsid w:val="00EA5675"/>
    <w:rsid w:val="00EA5863"/>
    <w:rsid w:val="00EA59E1"/>
    <w:rsid w:val="00EA5C70"/>
    <w:rsid w:val="00EA5CE6"/>
    <w:rsid w:val="00EA68BC"/>
    <w:rsid w:val="00EA6DB8"/>
    <w:rsid w:val="00EA6F04"/>
    <w:rsid w:val="00EA7037"/>
    <w:rsid w:val="00EA709C"/>
    <w:rsid w:val="00EA7CBA"/>
    <w:rsid w:val="00EB0330"/>
    <w:rsid w:val="00EB05F5"/>
    <w:rsid w:val="00EB1255"/>
    <w:rsid w:val="00EB170F"/>
    <w:rsid w:val="00EB2118"/>
    <w:rsid w:val="00EB26FD"/>
    <w:rsid w:val="00EB2F2E"/>
    <w:rsid w:val="00EB3A5E"/>
    <w:rsid w:val="00EB477D"/>
    <w:rsid w:val="00EB4941"/>
    <w:rsid w:val="00EB4A95"/>
    <w:rsid w:val="00EB4B53"/>
    <w:rsid w:val="00EB4CC3"/>
    <w:rsid w:val="00EB533C"/>
    <w:rsid w:val="00EB5519"/>
    <w:rsid w:val="00EB5636"/>
    <w:rsid w:val="00EB576F"/>
    <w:rsid w:val="00EB580B"/>
    <w:rsid w:val="00EB5BB7"/>
    <w:rsid w:val="00EB60C8"/>
    <w:rsid w:val="00EB641D"/>
    <w:rsid w:val="00EB6EC1"/>
    <w:rsid w:val="00EB7189"/>
    <w:rsid w:val="00EB73AD"/>
    <w:rsid w:val="00EB7831"/>
    <w:rsid w:val="00EB7BC0"/>
    <w:rsid w:val="00EB7CAA"/>
    <w:rsid w:val="00EC0232"/>
    <w:rsid w:val="00EC06A0"/>
    <w:rsid w:val="00EC07FD"/>
    <w:rsid w:val="00EC0844"/>
    <w:rsid w:val="00EC0ABA"/>
    <w:rsid w:val="00EC0CC0"/>
    <w:rsid w:val="00EC0F15"/>
    <w:rsid w:val="00EC11DE"/>
    <w:rsid w:val="00EC2ED3"/>
    <w:rsid w:val="00EC333F"/>
    <w:rsid w:val="00EC354E"/>
    <w:rsid w:val="00EC35B2"/>
    <w:rsid w:val="00EC375B"/>
    <w:rsid w:val="00EC3D4C"/>
    <w:rsid w:val="00EC4E1B"/>
    <w:rsid w:val="00EC4EBC"/>
    <w:rsid w:val="00EC5486"/>
    <w:rsid w:val="00EC5757"/>
    <w:rsid w:val="00EC5A55"/>
    <w:rsid w:val="00EC6190"/>
    <w:rsid w:val="00EC6F9C"/>
    <w:rsid w:val="00EC7131"/>
    <w:rsid w:val="00EC72A5"/>
    <w:rsid w:val="00EC7566"/>
    <w:rsid w:val="00EC7676"/>
    <w:rsid w:val="00EC796B"/>
    <w:rsid w:val="00EC7F98"/>
    <w:rsid w:val="00ED06A4"/>
    <w:rsid w:val="00ED199B"/>
    <w:rsid w:val="00ED1E66"/>
    <w:rsid w:val="00ED1E7F"/>
    <w:rsid w:val="00ED1F0A"/>
    <w:rsid w:val="00ED2248"/>
    <w:rsid w:val="00ED28DA"/>
    <w:rsid w:val="00ED2E55"/>
    <w:rsid w:val="00ED38EA"/>
    <w:rsid w:val="00ED4161"/>
    <w:rsid w:val="00ED44F7"/>
    <w:rsid w:val="00ED4627"/>
    <w:rsid w:val="00ED4A89"/>
    <w:rsid w:val="00ED59BC"/>
    <w:rsid w:val="00ED5AB8"/>
    <w:rsid w:val="00ED5FD9"/>
    <w:rsid w:val="00ED6332"/>
    <w:rsid w:val="00ED7446"/>
    <w:rsid w:val="00ED7B42"/>
    <w:rsid w:val="00EE0254"/>
    <w:rsid w:val="00EE028F"/>
    <w:rsid w:val="00EE0F95"/>
    <w:rsid w:val="00EE2715"/>
    <w:rsid w:val="00EE3122"/>
    <w:rsid w:val="00EE3592"/>
    <w:rsid w:val="00EE35C0"/>
    <w:rsid w:val="00EE371F"/>
    <w:rsid w:val="00EE3F6D"/>
    <w:rsid w:val="00EE413C"/>
    <w:rsid w:val="00EE4177"/>
    <w:rsid w:val="00EE45D0"/>
    <w:rsid w:val="00EE4733"/>
    <w:rsid w:val="00EE48C4"/>
    <w:rsid w:val="00EE4FDF"/>
    <w:rsid w:val="00EE634B"/>
    <w:rsid w:val="00EE648B"/>
    <w:rsid w:val="00EE65A8"/>
    <w:rsid w:val="00EE65EC"/>
    <w:rsid w:val="00EE7028"/>
    <w:rsid w:val="00EF03F1"/>
    <w:rsid w:val="00EF0BB8"/>
    <w:rsid w:val="00EF0DC6"/>
    <w:rsid w:val="00EF0E62"/>
    <w:rsid w:val="00EF11BD"/>
    <w:rsid w:val="00EF14BA"/>
    <w:rsid w:val="00EF170C"/>
    <w:rsid w:val="00EF1922"/>
    <w:rsid w:val="00EF235C"/>
    <w:rsid w:val="00EF23AE"/>
    <w:rsid w:val="00EF2713"/>
    <w:rsid w:val="00EF2817"/>
    <w:rsid w:val="00EF2841"/>
    <w:rsid w:val="00EF2956"/>
    <w:rsid w:val="00EF2C3A"/>
    <w:rsid w:val="00EF2E65"/>
    <w:rsid w:val="00EF3034"/>
    <w:rsid w:val="00EF336E"/>
    <w:rsid w:val="00EF35E0"/>
    <w:rsid w:val="00EF3992"/>
    <w:rsid w:val="00EF406E"/>
    <w:rsid w:val="00EF4457"/>
    <w:rsid w:val="00EF4F36"/>
    <w:rsid w:val="00EF5662"/>
    <w:rsid w:val="00EF599F"/>
    <w:rsid w:val="00EF5BDB"/>
    <w:rsid w:val="00EF5E0B"/>
    <w:rsid w:val="00EF5ED5"/>
    <w:rsid w:val="00EF6305"/>
    <w:rsid w:val="00EF63E9"/>
    <w:rsid w:val="00EF699F"/>
    <w:rsid w:val="00EF7015"/>
    <w:rsid w:val="00EF7271"/>
    <w:rsid w:val="00EF745B"/>
    <w:rsid w:val="00EF7A2C"/>
    <w:rsid w:val="00EF7A83"/>
    <w:rsid w:val="00EF7DEE"/>
    <w:rsid w:val="00EF7EDE"/>
    <w:rsid w:val="00EF7F55"/>
    <w:rsid w:val="00F001FE"/>
    <w:rsid w:val="00F00610"/>
    <w:rsid w:val="00F00683"/>
    <w:rsid w:val="00F00A68"/>
    <w:rsid w:val="00F00A84"/>
    <w:rsid w:val="00F00BA3"/>
    <w:rsid w:val="00F00BB3"/>
    <w:rsid w:val="00F00C8C"/>
    <w:rsid w:val="00F00D28"/>
    <w:rsid w:val="00F01554"/>
    <w:rsid w:val="00F027BA"/>
    <w:rsid w:val="00F02ACC"/>
    <w:rsid w:val="00F0317C"/>
    <w:rsid w:val="00F03AD3"/>
    <w:rsid w:val="00F03E68"/>
    <w:rsid w:val="00F04A3D"/>
    <w:rsid w:val="00F0698C"/>
    <w:rsid w:val="00F069CD"/>
    <w:rsid w:val="00F070AC"/>
    <w:rsid w:val="00F07F19"/>
    <w:rsid w:val="00F1002F"/>
    <w:rsid w:val="00F104EB"/>
    <w:rsid w:val="00F1182D"/>
    <w:rsid w:val="00F11B1D"/>
    <w:rsid w:val="00F126FF"/>
    <w:rsid w:val="00F12C9C"/>
    <w:rsid w:val="00F12CEB"/>
    <w:rsid w:val="00F12E45"/>
    <w:rsid w:val="00F1342D"/>
    <w:rsid w:val="00F13444"/>
    <w:rsid w:val="00F13526"/>
    <w:rsid w:val="00F13B00"/>
    <w:rsid w:val="00F13EC1"/>
    <w:rsid w:val="00F14305"/>
    <w:rsid w:val="00F1457F"/>
    <w:rsid w:val="00F14708"/>
    <w:rsid w:val="00F15255"/>
    <w:rsid w:val="00F152BC"/>
    <w:rsid w:val="00F157DC"/>
    <w:rsid w:val="00F15D2A"/>
    <w:rsid w:val="00F15E65"/>
    <w:rsid w:val="00F1659B"/>
    <w:rsid w:val="00F17246"/>
    <w:rsid w:val="00F17B6E"/>
    <w:rsid w:val="00F17CCB"/>
    <w:rsid w:val="00F202E8"/>
    <w:rsid w:val="00F2036F"/>
    <w:rsid w:val="00F207DB"/>
    <w:rsid w:val="00F20838"/>
    <w:rsid w:val="00F2105F"/>
    <w:rsid w:val="00F215DD"/>
    <w:rsid w:val="00F21F66"/>
    <w:rsid w:val="00F229EA"/>
    <w:rsid w:val="00F22AA5"/>
    <w:rsid w:val="00F22FDC"/>
    <w:rsid w:val="00F233AA"/>
    <w:rsid w:val="00F23527"/>
    <w:rsid w:val="00F23E3B"/>
    <w:rsid w:val="00F2426E"/>
    <w:rsid w:val="00F242A8"/>
    <w:rsid w:val="00F25D89"/>
    <w:rsid w:val="00F25E48"/>
    <w:rsid w:val="00F261BC"/>
    <w:rsid w:val="00F2636C"/>
    <w:rsid w:val="00F26D51"/>
    <w:rsid w:val="00F26DA7"/>
    <w:rsid w:val="00F270E6"/>
    <w:rsid w:val="00F2711C"/>
    <w:rsid w:val="00F27233"/>
    <w:rsid w:val="00F274C3"/>
    <w:rsid w:val="00F30660"/>
    <w:rsid w:val="00F309AE"/>
    <w:rsid w:val="00F30E10"/>
    <w:rsid w:val="00F30E75"/>
    <w:rsid w:val="00F30EEC"/>
    <w:rsid w:val="00F311DC"/>
    <w:rsid w:val="00F3180A"/>
    <w:rsid w:val="00F31C34"/>
    <w:rsid w:val="00F31F0A"/>
    <w:rsid w:val="00F31F33"/>
    <w:rsid w:val="00F31FC6"/>
    <w:rsid w:val="00F32175"/>
    <w:rsid w:val="00F3233D"/>
    <w:rsid w:val="00F323EA"/>
    <w:rsid w:val="00F325B2"/>
    <w:rsid w:val="00F32CB6"/>
    <w:rsid w:val="00F33457"/>
    <w:rsid w:val="00F33635"/>
    <w:rsid w:val="00F3420D"/>
    <w:rsid w:val="00F346E5"/>
    <w:rsid w:val="00F34840"/>
    <w:rsid w:val="00F34941"/>
    <w:rsid w:val="00F34C32"/>
    <w:rsid w:val="00F351CB"/>
    <w:rsid w:val="00F3524A"/>
    <w:rsid w:val="00F35273"/>
    <w:rsid w:val="00F36089"/>
    <w:rsid w:val="00F361B0"/>
    <w:rsid w:val="00F367D8"/>
    <w:rsid w:val="00F36936"/>
    <w:rsid w:val="00F36D9B"/>
    <w:rsid w:val="00F370E6"/>
    <w:rsid w:val="00F371C8"/>
    <w:rsid w:val="00F374C2"/>
    <w:rsid w:val="00F37B12"/>
    <w:rsid w:val="00F4004F"/>
    <w:rsid w:val="00F40319"/>
    <w:rsid w:val="00F4038C"/>
    <w:rsid w:val="00F409F0"/>
    <w:rsid w:val="00F40A7D"/>
    <w:rsid w:val="00F40D80"/>
    <w:rsid w:val="00F40DF4"/>
    <w:rsid w:val="00F4130C"/>
    <w:rsid w:val="00F41788"/>
    <w:rsid w:val="00F41B6F"/>
    <w:rsid w:val="00F41C79"/>
    <w:rsid w:val="00F41F05"/>
    <w:rsid w:val="00F42085"/>
    <w:rsid w:val="00F420D8"/>
    <w:rsid w:val="00F428D2"/>
    <w:rsid w:val="00F43512"/>
    <w:rsid w:val="00F43602"/>
    <w:rsid w:val="00F43736"/>
    <w:rsid w:val="00F44343"/>
    <w:rsid w:val="00F45082"/>
    <w:rsid w:val="00F4518C"/>
    <w:rsid w:val="00F454B1"/>
    <w:rsid w:val="00F45675"/>
    <w:rsid w:val="00F45763"/>
    <w:rsid w:val="00F45A11"/>
    <w:rsid w:val="00F45B38"/>
    <w:rsid w:val="00F45B5A"/>
    <w:rsid w:val="00F45DBF"/>
    <w:rsid w:val="00F46DA2"/>
    <w:rsid w:val="00F47598"/>
    <w:rsid w:val="00F477B5"/>
    <w:rsid w:val="00F5006D"/>
    <w:rsid w:val="00F50422"/>
    <w:rsid w:val="00F50772"/>
    <w:rsid w:val="00F507F6"/>
    <w:rsid w:val="00F50AB0"/>
    <w:rsid w:val="00F50F9C"/>
    <w:rsid w:val="00F51128"/>
    <w:rsid w:val="00F511D2"/>
    <w:rsid w:val="00F514C2"/>
    <w:rsid w:val="00F5173D"/>
    <w:rsid w:val="00F532D7"/>
    <w:rsid w:val="00F535FD"/>
    <w:rsid w:val="00F53709"/>
    <w:rsid w:val="00F53A0C"/>
    <w:rsid w:val="00F53C02"/>
    <w:rsid w:val="00F53D78"/>
    <w:rsid w:val="00F53DB7"/>
    <w:rsid w:val="00F54CE1"/>
    <w:rsid w:val="00F550B6"/>
    <w:rsid w:val="00F554B1"/>
    <w:rsid w:val="00F5556F"/>
    <w:rsid w:val="00F558D1"/>
    <w:rsid w:val="00F55ADC"/>
    <w:rsid w:val="00F55F81"/>
    <w:rsid w:val="00F56628"/>
    <w:rsid w:val="00F5666C"/>
    <w:rsid w:val="00F56685"/>
    <w:rsid w:val="00F566BA"/>
    <w:rsid w:val="00F56BE6"/>
    <w:rsid w:val="00F56CC8"/>
    <w:rsid w:val="00F578F1"/>
    <w:rsid w:val="00F57AD4"/>
    <w:rsid w:val="00F57B80"/>
    <w:rsid w:val="00F57CA6"/>
    <w:rsid w:val="00F57D38"/>
    <w:rsid w:val="00F60472"/>
    <w:rsid w:val="00F604D1"/>
    <w:rsid w:val="00F609C7"/>
    <w:rsid w:val="00F60F9F"/>
    <w:rsid w:val="00F612F5"/>
    <w:rsid w:val="00F61384"/>
    <w:rsid w:val="00F61AF2"/>
    <w:rsid w:val="00F61D71"/>
    <w:rsid w:val="00F6209B"/>
    <w:rsid w:val="00F6252F"/>
    <w:rsid w:val="00F628AF"/>
    <w:rsid w:val="00F628BC"/>
    <w:rsid w:val="00F62F22"/>
    <w:rsid w:val="00F63002"/>
    <w:rsid w:val="00F63A74"/>
    <w:rsid w:val="00F63D12"/>
    <w:rsid w:val="00F64354"/>
    <w:rsid w:val="00F64798"/>
    <w:rsid w:val="00F64A4B"/>
    <w:rsid w:val="00F64AC6"/>
    <w:rsid w:val="00F64EC1"/>
    <w:rsid w:val="00F65288"/>
    <w:rsid w:val="00F652F9"/>
    <w:rsid w:val="00F6588E"/>
    <w:rsid w:val="00F65D78"/>
    <w:rsid w:val="00F66F40"/>
    <w:rsid w:val="00F676EB"/>
    <w:rsid w:val="00F67E0A"/>
    <w:rsid w:val="00F67E8B"/>
    <w:rsid w:val="00F70005"/>
    <w:rsid w:val="00F7003F"/>
    <w:rsid w:val="00F70618"/>
    <w:rsid w:val="00F70CE7"/>
    <w:rsid w:val="00F71012"/>
    <w:rsid w:val="00F711E3"/>
    <w:rsid w:val="00F71404"/>
    <w:rsid w:val="00F72158"/>
    <w:rsid w:val="00F7257B"/>
    <w:rsid w:val="00F72C64"/>
    <w:rsid w:val="00F72E46"/>
    <w:rsid w:val="00F734A4"/>
    <w:rsid w:val="00F7394B"/>
    <w:rsid w:val="00F73C1B"/>
    <w:rsid w:val="00F73E84"/>
    <w:rsid w:val="00F74354"/>
    <w:rsid w:val="00F74577"/>
    <w:rsid w:val="00F74A43"/>
    <w:rsid w:val="00F751B9"/>
    <w:rsid w:val="00F75A5E"/>
    <w:rsid w:val="00F75F71"/>
    <w:rsid w:val="00F7676F"/>
    <w:rsid w:val="00F76F5F"/>
    <w:rsid w:val="00F7717A"/>
    <w:rsid w:val="00F77233"/>
    <w:rsid w:val="00F778E0"/>
    <w:rsid w:val="00F80277"/>
    <w:rsid w:val="00F80AB8"/>
    <w:rsid w:val="00F80FE9"/>
    <w:rsid w:val="00F811C9"/>
    <w:rsid w:val="00F8120E"/>
    <w:rsid w:val="00F81234"/>
    <w:rsid w:val="00F812D5"/>
    <w:rsid w:val="00F81AD1"/>
    <w:rsid w:val="00F82545"/>
    <w:rsid w:val="00F829A5"/>
    <w:rsid w:val="00F83640"/>
    <w:rsid w:val="00F83C08"/>
    <w:rsid w:val="00F83CD2"/>
    <w:rsid w:val="00F84733"/>
    <w:rsid w:val="00F8499E"/>
    <w:rsid w:val="00F85933"/>
    <w:rsid w:val="00F86091"/>
    <w:rsid w:val="00F8672F"/>
    <w:rsid w:val="00F86B43"/>
    <w:rsid w:val="00F87474"/>
    <w:rsid w:val="00F903CC"/>
    <w:rsid w:val="00F90481"/>
    <w:rsid w:val="00F90560"/>
    <w:rsid w:val="00F90864"/>
    <w:rsid w:val="00F90DE4"/>
    <w:rsid w:val="00F911F5"/>
    <w:rsid w:val="00F9121D"/>
    <w:rsid w:val="00F91AD4"/>
    <w:rsid w:val="00F91D51"/>
    <w:rsid w:val="00F9202C"/>
    <w:rsid w:val="00F92097"/>
    <w:rsid w:val="00F920F1"/>
    <w:rsid w:val="00F92421"/>
    <w:rsid w:val="00F92531"/>
    <w:rsid w:val="00F92986"/>
    <w:rsid w:val="00F92A28"/>
    <w:rsid w:val="00F936FD"/>
    <w:rsid w:val="00F93778"/>
    <w:rsid w:val="00F948A4"/>
    <w:rsid w:val="00F949DF"/>
    <w:rsid w:val="00F94C79"/>
    <w:rsid w:val="00F94E3C"/>
    <w:rsid w:val="00F95067"/>
    <w:rsid w:val="00F95CFC"/>
    <w:rsid w:val="00F963DD"/>
    <w:rsid w:val="00F96438"/>
    <w:rsid w:val="00F972CD"/>
    <w:rsid w:val="00F97950"/>
    <w:rsid w:val="00F9797B"/>
    <w:rsid w:val="00F97DF5"/>
    <w:rsid w:val="00FA0BB9"/>
    <w:rsid w:val="00FA0F12"/>
    <w:rsid w:val="00FA13AB"/>
    <w:rsid w:val="00FA155D"/>
    <w:rsid w:val="00FA16AA"/>
    <w:rsid w:val="00FA17B0"/>
    <w:rsid w:val="00FA1BAD"/>
    <w:rsid w:val="00FA22FD"/>
    <w:rsid w:val="00FA2EDD"/>
    <w:rsid w:val="00FA311E"/>
    <w:rsid w:val="00FA34AA"/>
    <w:rsid w:val="00FA3553"/>
    <w:rsid w:val="00FA365D"/>
    <w:rsid w:val="00FA3776"/>
    <w:rsid w:val="00FA37CC"/>
    <w:rsid w:val="00FA3A5F"/>
    <w:rsid w:val="00FA42BD"/>
    <w:rsid w:val="00FA4416"/>
    <w:rsid w:val="00FA4FB3"/>
    <w:rsid w:val="00FA55AA"/>
    <w:rsid w:val="00FA6297"/>
    <w:rsid w:val="00FA6871"/>
    <w:rsid w:val="00FA6A52"/>
    <w:rsid w:val="00FA7A2E"/>
    <w:rsid w:val="00FB17A1"/>
    <w:rsid w:val="00FB1852"/>
    <w:rsid w:val="00FB18E9"/>
    <w:rsid w:val="00FB19FF"/>
    <w:rsid w:val="00FB1BBF"/>
    <w:rsid w:val="00FB208C"/>
    <w:rsid w:val="00FB2449"/>
    <w:rsid w:val="00FB25B5"/>
    <w:rsid w:val="00FB2AB7"/>
    <w:rsid w:val="00FB3AAB"/>
    <w:rsid w:val="00FB4720"/>
    <w:rsid w:val="00FB472A"/>
    <w:rsid w:val="00FB491F"/>
    <w:rsid w:val="00FB4970"/>
    <w:rsid w:val="00FB49F4"/>
    <w:rsid w:val="00FB5207"/>
    <w:rsid w:val="00FB599E"/>
    <w:rsid w:val="00FB676B"/>
    <w:rsid w:val="00FB67B4"/>
    <w:rsid w:val="00FB68BB"/>
    <w:rsid w:val="00FB6ADF"/>
    <w:rsid w:val="00FB6AEA"/>
    <w:rsid w:val="00FB6CBF"/>
    <w:rsid w:val="00FB71F1"/>
    <w:rsid w:val="00FB731B"/>
    <w:rsid w:val="00FB7553"/>
    <w:rsid w:val="00FB7E97"/>
    <w:rsid w:val="00FC052F"/>
    <w:rsid w:val="00FC1148"/>
    <w:rsid w:val="00FC13EA"/>
    <w:rsid w:val="00FC1F3C"/>
    <w:rsid w:val="00FC2C14"/>
    <w:rsid w:val="00FC30FA"/>
    <w:rsid w:val="00FC336B"/>
    <w:rsid w:val="00FC34A0"/>
    <w:rsid w:val="00FC3E3B"/>
    <w:rsid w:val="00FC492B"/>
    <w:rsid w:val="00FC4AED"/>
    <w:rsid w:val="00FC4EBE"/>
    <w:rsid w:val="00FC5154"/>
    <w:rsid w:val="00FC51CC"/>
    <w:rsid w:val="00FC5254"/>
    <w:rsid w:val="00FC55A4"/>
    <w:rsid w:val="00FC73AB"/>
    <w:rsid w:val="00FC7D8C"/>
    <w:rsid w:val="00FC7E36"/>
    <w:rsid w:val="00FC7E99"/>
    <w:rsid w:val="00FD0C5B"/>
    <w:rsid w:val="00FD10D1"/>
    <w:rsid w:val="00FD14D1"/>
    <w:rsid w:val="00FD173C"/>
    <w:rsid w:val="00FD1FC1"/>
    <w:rsid w:val="00FD3107"/>
    <w:rsid w:val="00FD3324"/>
    <w:rsid w:val="00FD34D9"/>
    <w:rsid w:val="00FD3881"/>
    <w:rsid w:val="00FD4129"/>
    <w:rsid w:val="00FD487A"/>
    <w:rsid w:val="00FD493B"/>
    <w:rsid w:val="00FD4EBA"/>
    <w:rsid w:val="00FD4FDC"/>
    <w:rsid w:val="00FD5D62"/>
    <w:rsid w:val="00FD6419"/>
    <w:rsid w:val="00FD6646"/>
    <w:rsid w:val="00FD6BD8"/>
    <w:rsid w:val="00FD7028"/>
    <w:rsid w:val="00FD76D0"/>
    <w:rsid w:val="00FD782B"/>
    <w:rsid w:val="00FE04B0"/>
    <w:rsid w:val="00FE04CA"/>
    <w:rsid w:val="00FE083A"/>
    <w:rsid w:val="00FE11E1"/>
    <w:rsid w:val="00FE1509"/>
    <w:rsid w:val="00FE190E"/>
    <w:rsid w:val="00FE193A"/>
    <w:rsid w:val="00FE1F88"/>
    <w:rsid w:val="00FE203A"/>
    <w:rsid w:val="00FE2424"/>
    <w:rsid w:val="00FE24BB"/>
    <w:rsid w:val="00FE2703"/>
    <w:rsid w:val="00FE3D94"/>
    <w:rsid w:val="00FE3DBC"/>
    <w:rsid w:val="00FE41B8"/>
    <w:rsid w:val="00FE4B47"/>
    <w:rsid w:val="00FE4CD2"/>
    <w:rsid w:val="00FE5B80"/>
    <w:rsid w:val="00FE5E49"/>
    <w:rsid w:val="00FE5EC8"/>
    <w:rsid w:val="00FE61D8"/>
    <w:rsid w:val="00FE6574"/>
    <w:rsid w:val="00FE67CB"/>
    <w:rsid w:val="00FE7E4B"/>
    <w:rsid w:val="00FE7FA3"/>
    <w:rsid w:val="00FF0273"/>
    <w:rsid w:val="00FF0A61"/>
    <w:rsid w:val="00FF0C25"/>
    <w:rsid w:val="00FF0DB2"/>
    <w:rsid w:val="00FF11B2"/>
    <w:rsid w:val="00FF151A"/>
    <w:rsid w:val="00FF158F"/>
    <w:rsid w:val="00FF2228"/>
    <w:rsid w:val="00FF232D"/>
    <w:rsid w:val="00FF2B8B"/>
    <w:rsid w:val="00FF2FEC"/>
    <w:rsid w:val="00FF3172"/>
    <w:rsid w:val="00FF39A0"/>
    <w:rsid w:val="00FF39B4"/>
    <w:rsid w:val="00FF3EBA"/>
    <w:rsid w:val="00FF4025"/>
    <w:rsid w:val="00FF41B1"/>
    <w:rsid w:val="00FF4A34"/>
    <w:rsid w:val="00FF4D9F"/>
    <w:rsid w:val="00FF53A5"/>
    <w:rsid w:val="00FF5723"/>
    <w:rsid w:val="00FF5F50"/>
    <w:rsid w:val="00FF72AB"/>
    <w:rsid w:val="0160078A"/>
    <w:rsid w:val="02136A35"/>
    <w:rsid w:val="02263E9A"/>
    <w:rsid w:val="02720D8E"/>
    <w:rsid w:val="02CE039C"/>
    <w:rsid w:val="03031F3B"/>
    <w:rsid w:val="033E404C"/>
    <w:rsid w:val="03951AE1"/>
    <w:rsid w:val="03B22405"/>
    <w:rsid w:val="03B41164"/>
    <w:rsid w:val="03BE2FFA"/>
    <w:rsid w:val="03E54D32"/>
    <w:rsid w:val="0406754E"/>
    <w:rsid w:val="04775A3C"/>
    <w:rsid w:val="047A7CF9"/>
    <w:rsid w:val="04B037FF"/>
    <w:rsid w:val="04C90D1F"/>
    <w:rsid w:val="05116BD0"/>
    <w:rsid w:val="05924799"/>
    <w:rsid w:val="05D63091"/>
    <w:rsid w:val="05DE0031"/>
    <w:rsid w:val="064510DB"/>
    <w:rsid w:val="06620B3A"/>
    <w:rsid w:val="069672EA"/>
    <w:rsid w:val="06D0451E"/>
    <w:rsid w:val="06DA6FC6"/>
    <w:rsid w:val="06FA6800"/>
    <w:rsid w:val="070A729C"/>
    <w:rsid w:val="073C599D"/>
    <w:rsid w:val="076432D3"/>
    <w:rsid w:val="07B63215"/>
    <w:rsid w:val="080B7557"/>
    <w:rsid w:val="08121127"/>
    <w:rsid w:val="08251E7A"/>
    <w:rsid w:val="085264A2"/>
    <w:rsid w:val="08855996"/>
    <w:rsid w:val="08B001C4"/>
    <w:rsid w:val="08EF5F46"/>
    <w:rsid w:val="08F64865"/>
    <w:rsid w:val="090F12E9"/>
    <w:rsid w:val="094B4430"/>
    <w:rsid w:val="096A3477"/>
    <w:rsid w:val="097C361B"/>
    <w:rsid w:val="097F0DFA"/>
    <w:rsid w:val="09AB5942"/>
    <w:rsid w:val="09BF2ED7"/>
    <w:rsid w:val="09FB3B34"/>
    <w:rsid w:val="0A2336E6"/>
    <w:rsid w:val="0A2456C5"/>
    <w:rsid w:val="0A2E65FF"/>
    <w:rsid w:val="0A474057"/>
    <w:rsid w:val="0AA72B89"/>
    <w:rsid w:val="0ABD15CE"/>
    <w:rsid w:val="0B842ECF"/>
    <w:rsid w:val="0BA17AA6"/>
    <w:rsid w:val="0BA53A0C"/>
    <w:rsid w:val="0BA8462C"/>
    <w:rsid w:val="0BD10EF4"/>
    <w:rsid w:val="0BED19DF"/>
    <w:rsid w:val="0C392862"/>
    <w:rsid w:val="0C403BDE"/>
    <w:rsid w:val="0C447B66"/>
    <w:rsid w:val="0C602EA9"/>
    <w:rsid w:val="0C6172A8"/>
    <w:rsid w:val="0C7C107D"/>
    <w:rsid w:val="0D194DAA"/>
    <w:rsid w:val="0D197ECD"/>
    <w:rsid w:val="0D3D634E"/>
    <w:rsid w:val="0D83708C"/>
    <w:rsid w:val="0D854328"/>
    <w:rsid w:val="0DD0364A"/>
    <w:rsid w:val="0DD439AB"/>
    <w:rsid w:val="0E3A0266"/>
    <w:rsid w:val="0E5A2C39"/>
    <w:rsid w:val="0E7A01F9"/>
    <w:rsid w:val="0E7F3562"/>
    <w:rsid w:val="0E8E126E"/>
    <w:rsid w:val="0EA91377"/>
    <w:rsid w:val="0EBA67E9"/>
    <w:rsid w:val="0EBC0515"/>
    <w:rsid w:val="0EBD2885"/>
    <w:rsid w:val="0EC34B2B"/>
    <w:rsid w:val="0ECB5D10"/>
    <w:rsid w:val="0ECC1E18"/>
    <w:rsid w:val="0EE35EF2"/>
    <w:rsid w:val="0F1E6594"/>
    <w:rsid w:val="0F547B71"/>
    <w:rsid w:val="0F7936CC"/>
    <w:rsid w:val="0F8271DB"/>
    <w:rsid w:val="0F846E5C"/>
    <w:rsid w:val="0FAD4701"/>
    <w:rsid w:val="0FE825FD"/>
    <w:rsid w:val="10536340"/>
    <w:rsid w:val="10A839C2"/>
    <w:rsid w:val="10E83584"/>
    <w:rsid w:val="10FD18AA"/>
    <w:rsid w:val="11144E67"/>
    <w:rsid w:val="11273ACD"/>
    <w:rsid w:val="11700B96"/>
    <w:rsid w:val="118159AE"/>
    <w:rsid w:val="119D0D92"/>
    <w:rsid w:val="123B070E"/>
    <w:rsid w:val="12653E6A"/>
    <w:rsid w:val="12864FA7"/>
    <w:rsid w:val="12CC7D65"/>
    <w:rsid w:val="130425F2"/>
    <w:rsid w:val="136B46BF"/>
    <w:rsid w:val="138A779A"/>
    <w:rsid w:val="13A12FBB"/>
    <w:rsid w:val="13EC61F5"/>
    <w:rsid w:val="14010E99"/>
    <w:rsid w:val="1418406D"/>
    <w:rsid w:val="14236E2C"/>
    <w:rsid w:val="1445604A"/>
    <w:rsid w:val="14473B09"/>
    <w:rsid w:val="147F0D92"/>
    <w:rsid w:val="14840D97"/>
    <w:rsid w:val="14B36A8D"/>
    <w:rsid w:val="14C07BD3"/>
    <w:rsid w:val="14CF3D47"/>
    <w:rsid w:val="14D94AE9"/>
    <w:rsid w:val="14FC59FF"/>
    <w:rsid w:val="15876E40"/>
    <w:rsid w:val="158C2DC7"/>
    <w:rsid w:val="15BF64B6"/>
    <w:rsid w:val="15FB6C69"/>
    <w:rsid w:val="161E72EC"/>
    <w:rsid w:val="164E7686"/>
    <w:rsid w:val="165C2B80"/>
    <w:rsid w:val="16630A92"/>
    <w:rsid w:val="169D4898"/>
    <w:rsid w:val="16A22419"/>
    <w:rsid w:val="16BB36A6"/>
    <w:rsid w:val="16CF74AC"/>
    <w:rsid w:val="17025136"/>
    <w:rsid w:val="17080CB3"/>
    <w:rsid w:val="17235B9F"/>
    <w:rsid w:val="172B4881"/>
    <w:rsid w:val="173A46F0"/>
    <w:rsid w:val="17435B9A"/>
    <w:rsid w:val="1770488D"/>
    <w:rsid w:val="177338BB"/>
    <w:rsid w:val="17961C0E"/>
    <w:rsid w:val="179D7124"/>
    <w:rsid w:val="179F403B"/>
    <w:rsid w:val="17C419B4"/>
    <w:rsid w:val="181D21AB"/>
    <w:rsid w:val="1887731B"/>
    <w:rsid w:val="18E61DBF"/>
    <w:rsid w:val="18FB1EBA"/>
    <w:rsid w:val="19133920"/>
    <w:rsid w:val="196C36C2"/>
    <w:rsid w:val="198305A0"/>
    <w:rsid w:val="19EA0124"/>
    <w:rsid w:val="19FA6457"/>
    <w:rsid w:val="1A4E7821"/>
    <w:rsid w:val="1A5A7070"/>
    <w:rsid w:val="1A6B1CFE"/>
    <w:rsid w:val="1A736198"/>
    <w:rsid w:val="1A767F97"/>
    <w:rsid w:val="1A823870"/>
    <w:rsid w:val="1A907CE6"/>
    <w:rsid w:val="1AA650CC"/>
    <w:rsid w:val="1AA864FA"/>
    <w:rsid w:val="1AB97B24"/>
    <w:rsid w:val="1AE83DB9"/>
    <w:rsid w:val="1B270622"/>
    <w:rsid w:val="1B7D2468"/>
    <w:rsid w:val="1BAB30F2"/>
    <w:rsid w:val="1BB64807"/>
    <w:rsid w:val="1BD93E2F"/>
    <w:rsid w:val="1BEE345E"/>
    <w:rsid w:val="1BF209FD"/>
    <w:rsid w:val="1CC17E4E"/>
    <w:rsid w:val="1D152DC3"/>
    <w:rsid w:val="1D22267F"/>
    <w:rsid w:val="1D247C3B"/>
    <w:rsid w:val="1D7C5FBA"/>
    <w:rsid w:val="1D9F19C4"/>
    <w:rsid w:val="1DB62F3E"/>
    <w:rsid w:val="1DE535C6"/>
    <w:rsid w:val="1E1A653C"/>
    <w:rsid w:val="1E6D19DC"/>
    <w:rsid w:val="1EC00497"/>
    <w:rsid w:val="1EE613D0"/>
    <w:rsid w:val="1EF21855"/>
    <w:rsid w:val="1F1D4CEA"/>
    <w:rsid w:val="1F412ACD"/>
    <w:rsid w:val="1F4E03B9"/>
    <w:rsid w:val="1F6424BE"/>
    <w:rsid w:val="1FA51C58"/>
    <w:rsid w:val="20061562"/>
    <w:rsid w:val="201D0468"/>
    <w:rsid w:val="20A24394"/>
    <w:rsid w:val="20C8128E"/>
    <w:rsid w:val="20CD0F7C"/>
    <w:rsid w:val="20DB0CE4"/>
    <w:rsid w:val="2107636F"/>
    <w:rsid w:val="21314F5C"/>
    <w:rsid w:val="21725E20"/>
    <w:rsid w:val="217347FD"/>
    <w:rsid w:val="219109ED"/>
    <w:rsid w:val="21A148C9"/>
    <w:rsid w:val="21F841CB"/>
    <w:rsid w:val="2224426F"/>
    <w:rsid w:val="22262F08"/>
    <w:rsid w:val="224C10D0"/>
    <w:rsid w:val="225222AD"/>
    <w:rsid w:val="225C24EF"/>
    <w:rsid w:val="226433E0"/>
    <w:rsid w:val="22786DC6"/>
    <w:rsid w:val="2292152E"/>
    <w:rsid w:val="22951269"/>
    <w:rsid w:val="22954D95"/>
    <w:rsid w:val="22CD1E55"/>
    <w:rsid w:val="22DD38D3"/>
    <w:rsid w:val="230D3F37"/>
    <w:rsid w:val="231A53CB"/>
    <w:rsid w:val="2322005C"/>
    <w:rsid w:val="235C615B"/>
    <w:rsid w:val="2373711E"/>
    <w:rsid w:val="23EE71CC"/>
    <w:rsid w:val="23F37D12"/>
    <w:rsid w:val="24390A60"/>
    <w:rsid w:val="243E33BC"/>
    <w:rsid w:val="24AE3959"/>
    <w:rsid w:val="253311F6"/>
    <w:rsid w:val="253B3193"/>
    <w:rsid w:val="25654FC9"/>
    <w:rsid w:val="264B7744"/>
    <w:rsid w:val="26733533"/>
    <w:rsid w:val="26C66AA9"/>
    <w:rsid w:val="26F87EF2"/>
    <w:rsid w:val="270A1966"/>
    <w:rsid w:val="275156F1"/>
    <w:rsid w:val="27547C61"/>
    <w:rsid w:val="27C57EE9"/>
    <w:rsid w:val="27D22F05"/>
    <w:rsid w:val="281B7D88"/>
    <w:rsid w:val="28342B35"/>
    <w:rsid w:val="284E32AF"/>
    <w:rsid w:val="28756C64"/>
    <w:rsid w:val="28DA7C9C"/>
    <w:rsid w:val="28EC71CA"/>
    <w:rsid w:val="29225844"/>
    <w:rsid w:val="2924258A"/>
    <w:rsid w:val="295E77E7"/>
    <w:rsid w:val="296D1EE4"/>
    <w:rsid w:val="297801FC"/>
    <w:rsid w:val="29FB1FE8"/>
    <w:rsid w:val="29FE68AE"/>
    <w:rsid w:val="2A070C32"/>
    <w:rsid w:val="2A272B17"/>
    <w:rsid w:val="2A447724"/>
    <w:rsid w:val="2A6F4131"/>
    <w:rsid w:val="2A821832"/>
    <w:rsid w:val="2A8B17D2"/>
    <w:rsid w:val="2ABC3312"/>
    <w:rsid w:val="2AC50660"/>
    <w:rsid w:val="2ACE42A1"/>
    <w:rsid w:val="2AE53550"/>
    <w:rsid w:val="2AE953E6"/>
    <w:rsid w:val="2B165951"/>
    <w:rsid w:val="2B214434"/>
    <w:rsid w:val="2B6E1B3C"/>
    <w:rsid w:val="2BB255CF"/>
    <w:rsid w:val="2BC67822"/>
    <w:rsid w:val="2BE373BB"/>
    <w:rsid w:val="2BF34834"/>
    <w:rsid w:val="2C2643F4"/>
    <w:rsid w:val="2C540D91"/>
    <w:rsid w:val="2CA36D39"/>
    <w:rsid w:val="2CD326FB"/>
    <w:rsid w:val="2CD33D72"/>
    <w:rsid w:val="2CDD2170"/>
    <w:rsid w:val="2D056154"/>
    <w:rsid w:val="2D2A52C6"/>
    <w:rsid w:val="2D47719B"/>
    <w:rsid w:val="2D915A33"/>
    <w:rsid w:val="2D954534"/>
    <w:rsid w:val="2DC3712A"/>
    <w:rsid w:val="2E6332CF"/>
    <w:rsid w:val="2E746601"/>
    <w:rsid w:val="2EBF09B3"/>
    <w:rsid w:val="2EE57A28"/>
    <w:rsid w:val="2F186763"/>
    <w:rsid w:val="2F230C35"/>
    <w:rsid w:val="2F486989"/>
    <w:rsid w:val="2F563FFA"/>
    <w:rsid w:val="2F8D622E"/>
    <w:rsid w:val="2FAB61C7"/>
    <w:rsid w:val="2FF9569B"/>
    <w:rsid w:val="2FFE3400"/>
    <w:rsid w:val="30255AA7"/>
    <w:rsid w:val="306C3ED5"/>
    <w:rsid w:val="308A691B"/>
    <w:rsid w:val="309B2D7F"/>
    <w:rsid w:val="30A240C7"/>
    <w:rsid w:val="30B17342"/>
    <w:rsid w:val="30C22649"/>
    <w:rsid w:val="30F305DE"/>
    <w:rsid w:val="312E022B"/>
    <w:rsid w:val="31442821"/>
    <w:rsid w:val="315146B2"/>
    <w:rsid w:val="31551B52"/>
    <w:rsid w:val="317E250E"/>
    <w:rsid w:val="318A3760"/>
    <w:rsid w:val="319D5105"/>
    <w:rsid w:val="31DE4220"/>
    <w:rsid w:val="32255D50"/>
    <w:rsid w:val="32437F02"/>
    <w:rsid w:val="32537654"/>
    <w:rsid w:val="327134F7"/>
    <w:rsid w:val="327B0634"/>
    <w:rsid w:val="32AD3296"/>
    <w:rsid w:val="32D86E27"/>
    <w:rsid w:val="32ED5A24"/>
    <w:rsid w:val="332F3D9F"/>
    <w:rsid w:val="33695E48"/>
    <w:rsid w:val="33710202"/>
    <w:rsid w:val="33A322DA"/>
    <w:rsid w:val="33FD34E4"/>
    <w:rsid w:val="341A5E10"/>
    <w:rsid w:val="342E4BB7"/>
    <w:rsid w:val="347A4AA6"/>
    <w:rsid w:val="348823B2"/>
    <w:rsid w:val="3492586C"/>
    <w:rsid w:val="34983F71"/>
    <w:rsid w:val="34BC5AFA"/>
    <w:rsid w:val="34D6600F"/>
    <w:rsid w:val="34FA7F15"/>
    <w:rsid w:val="34FB75C8"/>
    <w:rsid w:val="35A66D4C"/>
    <w:rsid w:val="35B5404A"/>
    <w:rsid w:val="35CA6E6E"/>
    <w:rsid w:val="361E6D32"/>
    <w:rsid w:val="369D7707"/>
    <w:rsid w:val="36EE1587"/>
    <w:rsid w:val="370D2386"/>
    <w:rsid w:val="3724429D"/>
    <w:rsid w:val="37A02925"/>
    <w:rsid w:val="37B34CA4"/>
    <w:rsid w:val="37BD7469"/>
    <w:rsid w:val="37E36040"/>
    <w:rsid w:val="37F75EE1"/>
    <w:rsid w:val="38697E97"/>
    <w:rsid w:val="3888121E"/>
    <w:rsid w:val="389B1BDF"/>
    <w:rsid w:val="389E280E"/>
    <w:rsid w:val="38A26D2D"/>
    <w:rsid w:val="38BC15C3"/>
    <w:rsid w:val="38E54770"/>
    <w:rsid w:val="38F02478"/>
    <w:rsid w:val="38F51860"/>
    <w:rsid w:val="39180C1C"/>
    <w:rsid w:val="393A6E69"/>
    <w:rsid w:val="3A1172F4"/>
    <w:rsid w:val="3A255086"/>
    <w:rsid w:val="3A2E4C8D"/>
    <w:rsid w:val="3A467269"/>
    <w:rsid w:val="3A684F47"/>
    <w:rsid w:val="3A6A4A9F"/>
    <w:rsid w:val="3AA1177A"/>
    <w:rsid w:val="3ABE0F16"/>
    <w:rsid w:val="3B1346C7"/>
    <w:rsid w:val="3B513994"/>
    <w:rsid w:val="3B60503D"/>
    <w:rsid w:val="3BAF7463"/>
    <w:rsid w:val="3BB557AB"/>
    <w:rsid w:val="3BFF5196"/>
    <w:rsid w:val="3C2A7CBB"/>
    <w:rsid w:val="3C4414D2"/>
    <w:rsid w:val="3C595B04"/>
    <w:rsid w:val="3C6F6E45"/>
    <w:rsid w:val="3C7356FA"/>
    <w:rsid w:val="3C87449A"/>
    <w:rsid w:val="3CAB7E0C"/>
    <w:rsid w:val="3CC86708"/>
    <w:rsid w:val="3CCF172E"/>
    <w:rsid w:val="3CFB3A43"/>
    <w:rsid w:val="3CFB661F"/>
    <w:rsid w:val="3D2D5C0E"/>
    <w:rsid w:val="3D5C1F46"/>
    <w:rsid w:val="3DDE7492"/>
    <w:rsid w:val="3E003DAD"/>
    <w:rsid w:val="3E493D9A"/>
    <w:rsid w:val="3E5E3F63"/>
    <w:rsid w:val="3E704E3B"/>
    <w:rsid w:val="3EC80F65"/>
    <w:rsid w:val="3EE0310F"/>
    <w:rsid w:val="3F422E18"/>
    <w:rsid w:val="3F686C92"/>
    <w:rsid w:val="3F821E5A"/>
    <w:rsid w:val="3F826617"/>
    <w:rsid w:val="3FB50782"/>
    <w:rsid w:val="3FD85683"/>
    <w:rsid w:val="3FE96CFB"/>
    <w:rsid w:val="40044B90"/>
    <w:rsid w:val="40310071"/>
    <w:rsid w:val="40663625"/>
    <w:rsid w:val="40A01D3A"/>
    <w:rsid w:val="40C53CB0"/>
    <w:rsid w:val="416A190F"/>
    <w:rsid w:val="41CD6CD8"/>
    <w:rsid w:val="42277327"/>
    <w:rsid w:val="42282764"/>
    <w:rsid w:val="422F448D"/>
    <w:rsid w:val="42366258"/>
    <w:rsid w:val="424B22DA"/>
    <w:rsid w:val="424E40FE"/>
    <w:rsid w:val="42C03C59"/>
    <w:rsid w:val="42C26869"/>
    <w:rsid w:val="42CB43AB"/>
    <w:rsid w:val="42D20D69"/>
    <w:rsid w:val="43152860"/>
    <w:rsid w:val="431A4176"/>
    <w:rsid w:val="432514CD"/>
    <w:rsid w:val="434C619B"/>
    <w:rsid w:val="438761B4"/>
    <w:rsid w:val="4389474A"/>
    <w:rsid w:val="43A4707C"/>
    <w:rsid w:val="441750CA"/>
    <w:rsid w:val="442368C2"/>
    <w:rsid w:val="4445330B"/>
    <w:rsid w:val="448F024A"/>
    <w:rsid w:val="449B309D"/>
    <w:rsid w:val="44AA01D9"/>
    <w:rsid w:val="44C86593"/>
    <w:rsid w:val="45492AC0"/>
    <w:rsid w:val="4569202B"/>
    <w:rsid w:val="458021A9"/>
    <w:rsid w:val="45D94B43"/>
    <w:rsid w:val="46217182"/>
    <w:rsid w:val="462C2223"/>
    <w:rsid w:val="469F2601"/>
    <w:rsid w:val="46AB40C3"/>
    <w:rsid w:val="46FC1214"/>
    <w:rsid w:val="471F2FD5"/>
    <w:rsid w:val="47544341"/>
    <w:rsid w:val="47A56FB4"/>
    <w:rsid w:val="47AD7CF1"/>
    <w:rsid w:val="47D67F88"/>
    <w:rsid w:val="48017121"/>
    <w:rsid w:val="482849BA"/>
    <w:rsid w:val="486B7FE0"/>
    <w:rsid w:val="48B37EC3"/>
    <w:rsid w:val="48BA15B1"/>
    <w:rsid w:val="48E97759"/>
    <w:rsid w:val="48F30E44"/>
    <w:rsid w:val="49600707"/>
    <w:rsid w:val="4970283A"/>
    <w:rsid w:val="49E204D8"/>
    <w:rsid w:val="4A103FF4"/>
    <w:rsid w:val="4A2607E0"/>
    <w:rsid w:val="4A4F0F75"/>
    <w:rsid w:val="4A666565"/>
    <w:rsid w:val="4A7B66E4"/>
    <w:rsid w:val="4A7F4FCB"/>
    <w:rsid w:val="4AD5154D"/>
    <w:rsid w:val="4AD706CF"/>
    <w:rsid w:val="4B1919BD"/>
    <w:rsid w:val="4B3E674C"/>
    <w:rsid w:val="4B427988"/>
    <w:rsid w:val="4B625F9B"/>
    <w:rsid w:val="4B8B2942"/>
    <w:rsid w:val="4BC94281"/>
    <w:rsid w:val="4BCA2E7B"/>
    <w:rsid w:val="4BCC283D"/>
    <w:rsid w:val="4BD35E6D"/>
    <w:rsid w:val="4BFB21F8"/>
    <w:rsid w:val="4C5B5DF1"/>
    <w:rsid w:val="4C752052"/>
    <w:rsid w:val="4C7D3694"/>
    <w:rsid w:val="4CB13786"/>
    <w:rsid w:val="4CBE674C"/>
    <w:rsid w:val="4CEC501C"/>
    <w:rsid w:val="4D1D544A"/>
    <w:rsid w:val="4D3215CD"/>
    <w:rsid w:val="4D393332"/>
    <w:rsid w:val="4D3B01A7"/>
    <w:rsid w:val="4D457647"/>
    <w:rsid w:val="4D4746C5"/>
    <w:rsid w:val="4D685C3D"/>
    <w:rsid w:val="4DFD50C1"/>
    <w:rsid w:val="4E496865"/>
    <w:rsid w:val="4E58321E"/>
    <w:rsid w:val="4F0B290E"/>
    <w:rsid w:val="4F0E00E7"/>
    <w:rsid w:val="4F1E3E0E"/>
    <w:rsid w:val="4F603C00"/>
    <w:rsid w:val="4F6264CF"/>
    <w:rsid w:val="4F881FC7"/>
    <w:rsid w:val="4F926200"/>
    <w:rsid w:val="4F9A0295"/>
    <w:rsid w:val="4FA1745C"/>
    <w:rsid w:val="4FB30D0C"/>
    <w:rsid w:val="4FE20FB2"/>
    <w:rsid w:val="5038679F"/>
    <w:rsid w:val="504A074F"/>
    <w:rsid w:val="505D65C8"/>
    <w:rsid w:val="50670571"/>
    <w:rsid w:val="508657B7"/>
    <w:rsid w:val="50B95E75"/>
    <w:rsid w:val="50CA6916"/>
    <w:rsid w:val="50D05FA6"/>
    <w:rsid w:val="50E01A4E"/>
    <w:rsid w:val="50E64E95"/>
    <w:rsid w:val="50F83242"/>
    <w:rsid w:val="50FA3C48"/>
    <w:rsid w:val="50FD1C68"/>
    <w:rsid w:val="51801D58"/>
    <w:rsid w:val="51B871E9"/>
    <w:rsid w:val="51CD69E1"/>
    <w:rsid w:val="51F87B88"/>
    <w:rsid w:val="52832937"/>
    <w:rsid w:val="529819FF"/>
    <w:rsid w:val="52CD201A"/>
    <w:rsid w:val="52D23377"/>
    <w:rsid w:val="53130F14"/>
    <w:rsid w:val="5373169B"/>
    <w:rsid w:val="537C4F95"/>
    <w:rsid w:val="53E544DB"/>
    <w:rsid w:val="53FA0383"/>
    <w:rsid w:val="543D2524"/>
    <w:rsid w:val="548C1FAB"/>
    <w:rsid w:val="54E63064"/>
    <w:rsid w:val="5500783F"/>
    <w:rsid w:val="551117CE"/>
    <w:rsid w:val="55575B26"/>
    <w:rsid w:val="558B0806"/>
    <w:rsid w:val="55944949"/>
    <w:rsid w:val="559C154A"/>
    <w:rsid w:val="55B24181"/>
    <w:rsid w:val="55B96238"/>
    <w:rsid w:val="55BE559F"/>
    <w:rsid w:val="562B5C07"/>
    <w:rsid w:val="564718A2"/>
    <w:rsid w:val="565331F1"/>
    <w:rsid w:val="565467A5"/>
    <w:rsid w:val="56850AA7"/>
    <w:rsid w:val="56D97CB0"/>
    <w:rsid w:val="56EA73AE"/>
    <w:rsid w:val="56F04D23"/>
    <w:rsid w:val="56F0657B"/>
    <w:rsid w:val="56F20621"/>
    <w:rsid w:val="57251BA2"/>
    <w:rsid w:val="57364C46"/>
    <w:rsid w:val="575A47E7"/>
    <w:rsid w:val="578D3BD3"/>
    <w:rsid w:val="57911484"/>
    <w:rsid w:val="57CF104F"/>
    <w:rsid w:val="57CF47C9"/>
    <w:rsid w:val="57E76F1A"/>
    <w:rsid w:val="57FF0946"/>
    <w:rsid w:val="58015972"/>
    <w:rsid w:val="58406187"/>
    <w:rsid w:val="58537A63"/>
    <w:rsid w:val="588C2AEC"/>
    <w:rsid w:val="58F90DE0"/>
    <w:rsid w:val="59493F76"/>
    <w:rsid w:val="594C6E25"/>
    <w:rsid w:val="595650B7"/>
    <w:rsid w:val="59622FBF"/>
    <w:rsid w:val="59651728"/>
    <w:rsid w:val="597F1341"/>
    <w:rsid w:val="599057E7"/>
    <w:rsid w:val="59A27420"/>
    <w:rsid w:val="59B014A2"/>
    <w:rsid w:val="59CD58EE"/>
    <w:rsid w:val="59D80CBB"/>
    <w:rsid w:val="59E563F8"/>
    <w:rsid w:val="5A0706B8"/>
    <w:rsid w:val="5A225779"/>
    <w:rsid w:val="5A595DE7"/>
    <w:rsid w:val="5A6C6973"/>
    <w:rsid w:val="5A8156DE"/>
    <w:rsid w:val="5AE56545"/>
    <w:rsid w:val="5B163201"/>
    <w:rsid w:val="5B325D80"/>
    <w:rsid w:val="5B51441C"/>
    <w:rsid w:val="5B636D7E"/>
    <w:rsid w:val="5B7A6DEA"/>
    <w:rsid w:val="5BB6143D"/>
    <w:rsid w:val="5BF54320"/>
    <w:rsid w:val="5C9E7970"/>
    <w:rsid w:val="5CA81F1B"/>
    <w:rsid w:val="5CC37F37"/>
    <w:rsid w:val="5D044DFB"/>
    <w:rsid w:val="5D2348D5"/>
    <w:rsid w:val="5D2E4206"/>
    <w:rsid w:val="5D7B3971"/>
    <w:rsid w:val="5DA21809"/>
    <w:rsid w:val="5DDA30BD"/>
    <w:rsid w:val="5E37388C"/>
    <w:rsid w:val="5E5F712B"/>
    <w:rsid w:val="5E810540"/>
    <w:rsid w:val="5EAE0F71"/>
    <w:rsid w:val="5ED35BB4"/>
    <w:rsid w:val="5EED382F"/>
    <w:rsid w:val="5F043173"/>
    <w:rsid w:val="5F2158F5"/>
    <w:rsid w:val="5F2D0AE0"/>
    <w:rsid w:val="5F2E16F6"/>
    <w:rsid w:val="5FCD78BE"/>
    <w:rsid w:val="602676E1"/>
    <w:rsid w:val="602E4F74"/>
    <w:rsid w:val="60366D51"/>
    <w:rsid w:val="606D1358"/>
    <w:rsid w:val="60A74497"/>
    <w:rsid w:val="60C772C6"/>
    <w:rsid w:val="60D410A1"/>
    <w:rsid w:val="61010C83"/>
    <w:rsid w:val="61020C7F"/>
    <w:rsid w:val="61543299"/>
    <w:rsid w:val="615A5A4D"/>
    <w:rsid w:val="61D70DF9"/>
    <w:rsid w:val="61E811E6"/>
    <w:rsid w:val="620F61A4"/>
    <w:rsid w:val="622C555D"/>
    <w:rsid w:val="62304CD7"/>
    <w:rsid w:val="62965BE6"/>
    <w:rsid w:val="62FC7EC5"/>
    <w:rsid w:val="62FF03D9"/>
    <w:rsid w:val="633C769A"/>
    <w:rsid w:val="637061C0"/>
    <w:rsid w:val="63794A99"/>
    <w:rsid w:val="63966FB4"/>
    <w:rsid w:val="63A105E6"/>
    <w:rsid w:val="63DF1AF8"/>
    <w:rsid w:val="63E61F5F"/>
    <w:rsid w:val="63F25D36"/>
    <w:rsid w:val="63F657AA"/>
    <w:rsid w:val="64011BE3"/>
    <w:rsid w:val="646A26E7"/>
    <w:rsid w:val="647B661F"/>
    <w:rsid w:val="647D33B3"/>
    <w:rsid w:val="64800394"/>
    <w:rsid w:val="648814BB"/>
    <w:rsid w:val="649F7A66"/>
    <w:rsid w:val="64AD6D58"/>
    <w:rsid w:val="64C549E2"/>
    <w:rsid w:val="657753A5"/>
    <w:rsid w:val="65F82D17"/>
    <w:rsid w:val="660A5F17"/>
    <w:rsid w:val="6635181D"/>
    <w:rsid w:val="665D61C6"/>
    <w:rsid w:val="66723D48"/>
    <w:rsid w:val="668D3AA7"/>
    <w:rsid w:val="668D6304"/>
    <w:rsid w:val="669F0689"/>
    <w:rsid w:val="66A41FCA"/>
    <w:rsid w:val="66A87A0F"/>
    <w:rsid w:val="671706D3"/>
    <w:rsid w:val="67283F6C"/>
    <w:rsid w:val="67801EB9"/>
    <w:rsid w:val="68094F38"/>
    <w:rsid w:val="683E5252"/>
    <w:rsid w:val="685118DE"/>
    <w:rsid w:val="688233FF"/>
    <w:rsid w:val="68D56A00"/>
    <w:rsid w:val="68E74DD7"/>
    <w:rsid w:val="68F82D69"/>
    <w:rsid w:val="69280C5E"/>
    <w:rsid w:val="6945657B"/>
    <w:rsid w:val="6A240036"/>
    <w:rsid w:val="6A2A3579"/>
    <w:rsid w:val="6A4B5F33"/>
    <w:rsid w:val="6A880A74"/>
    <w:rsid w:val="6ABD5B5F"/>
    <w:rsid w:val="6AC30942"/>
    <w:rsid w:val="6B311795"/>
    <w:rsid w:val="6B3C6ADE"/>
    <w:rsid w:val="6B8C1C2C"/>
    <w:rsid w:val="6BB141CE"/>
    <w:rsid w:val="6C3664AD"/>
    <w:rsid w:val="6CA16396"/>
    <w:rsid w:val="6CBD0545"/>
    <w:rsid w:val="6CC37BAF"/>
    <w:rsid w:val="6CC73DF6"/>
    <w:rsid w:val="6CE13277"/>
    <w:rsid w:val="6CF92FDB"/>
    <w:rsid w:val="6D285ECF"/>
    <w:rsid w:val="6D3173EA"/>
    <w:rsid w:val="6D385E21"/>
    <w:rsid w:val="6D737889"/>
    <w:rsid w:val="6D832E39"/>
    <w:rsid w:val="6DEF4626"/>
    <w:rsid w:val="6DFD2446"/>
    <w:rsid w:val="6E05279F"/>
    <w:rsid w:val="6E3C34C4"/>
    <w:rsid w:val="6E8229A0"/>
    <w:rsid w:val="6EA43E55"/>
    <w:rsid w:val="6EA84CF4"/>
    <w:rsid w:val="6F0E2F5B"/>
    <w:rsid w:val="6F153111"/>
    <w:rsid w:val="6F927913"/>
    <w:rsid w:val="6FA02232"/>
    <w:rsid w:val="6FA13625"/>
    <w:rsid w:val="6FA77FDB"/>
    <w:rsid w:val="6FBB5193"/>
    <w:rsid w:val="6FF6159B"/>
    <w:rsid w:val="6FF8081F"/>
    <w:rsid w:val="70032313"/>
    <w:rsid w:val="70195AED"/>
    <w:rsid w:val="704C1556"/>
    <w:rsid w:val="704D2030"/>
    <w:rsid w:val="707E0FD5"/>
    <w:rsid w:val="70805D20"/>
    <w:rsid w:val="70867402"/>
    <w:rsid w:val="70F72661"/>
    <w:rsid w:val="71241D10"/>
    <w:rsid w:val="712D615B"/>
    <w:rsid w:val="71910D2E"/>
    <w:rsid w:val="71CE580B"/>
    <w:rsid w:val="71DA38CD"/>
    <w:rsid w:val="72983176"/>
    <w:rsid w:val="72BE2D27"/>
    <w:rsid w:val="72C22CEF"/>
    <w:rsid w:val="72CE7912"/>
    <w:rsid w:val="72D3053B"/>
    <w:rsid w:val="72D507AA"/>
    <w:rsid w:val="72F739A7"/>
    <w:rsid w:val="73F52103"/>
    <w:rsid w:val="740A7DB8"/>
    <w:rsid w:val="745D6CBB"/>
    <w:rsid w:val="74CA3328"/>
    <w:rsid w:val="74DF4EF4"/>
    <w:rsid w:val="7518727D"/>
    <w:rsid w:val="7529102A"/>
    <w:rsid w:val="75670073"/>
    <w:rsid w:val="7631116A"/>
    <w:rsid w:val="76345B3A"/>
    <w:rsid w:val="766449D0"/>
    <w:rsid w:val="7686064F"/>
    <w:rsid w:val="76B858B5"/>
    <w:rsid w:val="76EA11B8"/>
    <w:rsid w:val="773D3F97"/>
    <w:rsid w:val="774950AA"/>
    <w:rsid w:val="77951A25"/>
    <w:rsid w:val="77CC2A1C"/>
    <w:rsid w:val="78951AF6"/>
    <w:rsid w:val="78E72828"/>
    <w:rsid w:val="79183D0D"/>
    <w:rsid w:val="79227461"/>
    <w:rsid w:val="793A7966"/>
    <w:rsid w:val="795C176B"/>
    <w:rsid w:val="7996231B"/>
    <w:rsid w:val="79BB215E"/>
    <w:rsid w:val="79D87646"/>
    <w:rsid w:val="79F07C57"/>
    <w:rsid w:val="7A3007C8"/>
    <w:rsid w:val="7A3231AD"/>
    <w:rsid w:val="7A4A532C"/>
    <w:rsid w:val="7A5A72EE"/>
    <w:rsid w:val="7A73107E"/>
    <w:rsid w:val="7ACD7FF3"/>
    <w:rsid w:val="7AD06D05"/>
    <w:rsid w:val="7ADC02AF"/>
    <w:rsid w:val="7B2F5349"/>
    <w:rsid w:val="7B500F81"/>
    <w:rsid w:val="7B5666FB"/>
    <w:rsid w:val="7B5C232E"/>
    <w:rsid w:val="7B637C47"/>
    <w:rsid w:val="7B9F10AF"/>
    <w:rsid w:val="7BCE7D15"/>
    <w:rsid w:val="7C0D2725"/>
    <w:rsid w:val="7C0E2B1C"/>
    <w:rsid w:val="7C582C3F"/>
    <w:rsid w:val="7C7E701C"/>
    <w:rsid w:val="7C9B7FF0"/>
    <w:rsid w:val="7CBF0A76"/>
    <w:rsid w:val="7D2805A0"/>
    <w:rsid w:val="7D6B7727"/>
    <w:rsid w:val="7DDE5E51"/>
    <w:rsid w:val="7E1D2CB4"/>
    <w:rsid w:val="7E794FBB"/>
    <w:rsid w:val="7E806AA4"/>
    <w:rsid w:val="7E8B3CBF"/>
    <w:rsid w:val="7ECB2E06"/>
    <w:rsid w:val="7FA76140"/>
    <w:rsid w:val="7FE63C3C"/>
    <w:rsid w:val="7FF9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2"/>
    <w:qFormat/>
    <w:uiPriority w:val="9"/>
    <w:pPr>
      <w:keepNext/>
      <w:keepLines/>
      <w:spacing w:before="340" w:after="330" w:line="578" w:lineRule="auto"/>
      <w:outlineLvl w:val="0"/>
    </w:pPr>
    <w:rPr>
      <w:b/>
      <w:bCs/>
      <w:kern w:val="44"/>
      <w:sz w:val="44"/>
      <w:szCs w:val="44"/>
    </w:rPr>
  </w:style>
  <w:style w:type="paragraph" w:styleId="6">
    <w:name w:val="heading 2"/>
    <w:basedOn w:val="1"/>
    <w:next w:val="7"/>
    <w:link w:val="68"/>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8">
    <w:name w:val="heading 3"/>
    <w:next w:val="1"/>
    <w:qFormat/>
    <w:uiPriority w:val="0"/>
    <w:pPr>
      <w:keepNext/>
      <w:keepLines/>
      <w:spacing w:before="260" w:after="260" w:line="416" w:lineRule="atLeast"/>
      <w:jc w:val="both"/>
      <w:textAlignment w:val="baseline"/>
      <w:outlineLvl w:val="2"/>
    </w:pPr>
    <w:rPr>
      <w:rFonts w:ascii="Times New Roman" w:hAnsi="Times New Roman" w:eastAsia="宋体" w:cs="Times New Roman"/>
      <w:b/>
      <w:bCs/>
      <w:color w:val="000000"/>
      <w:sz w:val="32"/>
      <w:szCs w:val="32"/>
      <w:u w:color="000000"/>
      <w:lang w:val="en-US" w:eastAsia="zh-CN" w:bidi="ar-SA"/>
    </w:rPr>
  </w:style>
  <w:style w:type="paragraph" w:styleId="9">
    <w:name w:val="heading 4"/>
    <w:basedOn w:val="1"/>
    <w:next w:val="1"/>
    <w:link w:val="75"/>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color="000000"/>
    </w:rPr>
  </w:style>
  <w:style w:type="paragraph" w:styleId="10">
    <w:name w:val="heading 5"/>
    <w:basedOn w:val="1"/>
    <w:next w:val="1"/>
    <w:link w:val="55"/>
    <w:qFormat/>
    <w:uiPriority w:val="0"/>
    <w:pPr>
      <w:keepNext/>
      <w:keepLines/>
      <w:spacing w:before="280" w:after="290" w:line="376" w:lineRule="auto"/>
      <w:outlineLvl w:val="4"/>
    </w:pPr>
    <w:rPr>
      <w:b/>
      <w:bCs/>
      <w:sz w:val="28"/>
      <w:szCs w:val="28"/>
    </w:rPr>
  </w:style>
  <w:style w:type="paragraph" w:styleId="11">
    <w:name w:val="heading 6"/>
    <w:basedOn w:val="1"/>
    <w:next w:val="1"/>
    <w:link w:val="50"/>
    <w:qFormat/>
    <w:uiPriority w:val="0"/>
    <w:pPr>
      <w:keepNext/>
      <w:keepLines/>
      <w:spacing w:before="240" w:after="64" w:line="320" w:lineRule="auto"/>
      <w:outlineLvl w:val="5"/>
    </w:pPr>
    <w:rPr>
      <w:rFonts w:ascii="Cambria" w:hAnsi="Cambria"/>
      <w:b/>
      <w:bCs/>
      <w:sz w:val="24"/>
    </w:rPr>
  </w:style>
  <w:style w:type="paragraph" w:styleId="12">
    <w:name w:val="heading 7"/>
    <w:basedOn w:val="1"/>
    <w:next w:val="1"/>
    <w:link w:val="71"/>
    <w:qFormat/>
    <w:uiPriority w:val="0"/>
    <w:pPr>
      <w:keepNext/>
      <w:keepLines/>
      <w:spacing w:before="240" w:after="64" w:line="320" w:lineRule="auto"/>
      <w:outlineLvl w:val="6"/>
    </w:pPr>
    <w:rPr>
      <w:b/>
      <w:bCs/>
      <w:sz w:val="24"/>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3"/>
    <w:link w:val="52"/>
    <w:qFormat/>
    <w:uiPriority w:val="0"/>
    <w:pPr>
      <w:ind w:left="420" w:firstLine="420" w:firstLineChars="200"/>
    </w:pPr>
  </w:style>
  <w:style w:type="paragraph" w:styleId="3">
    <w:name w:val="Body Text Indent"/>
    <w:basedOn w:val="1"/>
    <w:next w:val="4"/>
    <w:link w:val="53"/>
    <w:qFormat/>
    <w:uiPriority w:val="0"/>
    <w:pPr>
      <w:spacing w:after="120"/>
      <w:ind w:left="200" w:leftChars="200"/>
    </w:pPr>
  </w:style>
  <w:style w:type="paragraph" w:styleId="4">
    <w:name w:val="envelope return"/>
    <w:basedOn w:val="1"/>
    <w:qFormat/>
    <w:uiPriority w:val="0"/>
    <w:pPr>
      <w:snapToGrid w:val="0"/>
    </w:pPr>
    <w:rPr>
      <w:rFonts w:ascii="Arial" w:hAnsi="Arial"/>
    </w:rPr>
  </w:style>
  <w:style w:type="paragraph" w:styleId="7">
    <w:name w:val="Normal Indent"/>
    <w:basedOn w:val="1"/>
    <w:qFormat/>
    <w:uiPriority w:val="0"/>
    <w:pPr>
      <w:adjustRightInd w:val="0"/>
      <w:spacing w:line="360" w:lineRule="atLeast"/>
      <w:ind w:firstLine="482"/>
      <w:textAlignment w:val="baseline"/>
    </w:pPr>
    <w:rPr>
      <w:kern w:val="0"/>
      <w:sz w:val="24"/>
      <w:szCs w:val="20"/>
    </w:rPr>
  </w:style>
  <w:style w:type="paragraph" w:styleId="13">
    <w:name w:val="List Number 2"/>
    <w:basedOn w:val="1"/>
    <w:qFormat/>
    <w:uiPriority w:val="0"/>
    <w:pPr>
      <w:numPr>
        <w:ilvl w:val="0"/>
        <w:numId w:val="2"/>
      </w:numPr>
      <w:tabs>
        <w:tab w:val="left" w:pos="567"/>
      </w:tabs>
      <w:adjustRightInd w:val="0"/>
      <w:spacing w:line="300" w:lineRule="auto"/>
      <w:textAlignment w:val="baseline"/>
    </w:pPr>
    <w:rPr>
      <w:kern w:val="0"/>
      <w:sz w:val="28"/>
      <w:szCs w:val="20"/>
    </w:rPr>
  </w:style>
  <w:style w:type="paragraph" w:styleId="14">
    <w:name w:val="annotation text"/>
    <w:basedOn w:val="1"/>
    <w:link w:val="64"/>
    <w:qFormat/>
    <w:uiPriority w:val="99"/>
    <w:pPr>
      <w:jc w:val="left"/>
    </w:pPr>
  </w:style>
  <w:style w:type="paragraph" w:styleId="15">
    <w:name w:val="Body Text 3"/>
    <w:basedOn w:val="1"/>
    <w:qFormat/>
    <w:uiPriority w:val="0"/>
    <w:rPr>
      <w:rFonts w:ascii="宋体"/>
      <w:sz w:val="24"/>
      <w:szCs w:val="20"/>
    </w:rPr>
  </w:style>
  <w:style w:type="paragraph" w:styleId="16">
    <w:name w:val="Body Text"/>
    <w:basedOn w:val="1"/>
    <w:semiHidden/>
    <w:qFormat/>
    <w:uiPriority w:val="0"/>
    <w:pPr>
      <w:spacing w:after="120"/>
    </w:pPr>
  </w:style>
  <w:style w:type="paragraph" w:styleId="17">
    <w:name w:val="toc 3"/>
    <w:basedOn w:val="1"/>
    <w:next w:val="1"/>
    <w:qFormat/>
    <w:uiPriority w:val="39"/>
    <w:pPr>
      <w:tabs>
        <w:tab w:val="right" w:leader="dot" w:pos="9288"/>
      </w:tabs>
      <w:ind w:left="400" w:leftChars="400"/>
    </w:pPr>
    <w:rPr>
      <w:rFonts w:ascii="宋体"/>
    </w:rPr>
  </w:style>
  <w:style w:type="paragraph" w:styleId="18">
    <w:name w:val="Plain Text"/>
    <w:basedOn w:val="1"/>
    <w:link w:val="69"/>
    <w:qFormat/>
    <w:uiPriority w:val="0"/>
    <w:rPr>
      <w:rFonts w:ascii="宋体"/>
      <w:color w:val="000000"/>
      <w:szCs w:val="20"/>
      <w:u w:color="000000"/>
    </w:rPr>
  </w:style>
  <w:style w:type="paragraph" w:styleId="19">
    <w:name w:val="Date"/>
    <w:basedOn w:val="1"/>
    <w:next w:val="1"/>
    <w:link w:val="48"/>
    <w:qFormat/>
    <w:uiPriority w:val="0"/>
    <w:rPr>
      <w:rFonts w:ascii="Arial" w:hAnsi="Arial" w:eastAsia="仿宋_GB2312"/>
      <w:color w:val="000000"/>
      <w:sz w:val="32"/>
      <w:szCs w:val="20"/>
      <w:u w:color="000000"/>
    </w:rPr>
  </w:style>
  <w:style w:type="paragraph" w:styleId="20">
    <w:name w:val="Body Text Indent 2"/>
    <w:basedOn w:val="1"/>
    <w:link w:val="73"/>
    <w:qFormat/>
    <w:uiPriority w:val="0"/>
    <w:pPr>
      <w:spacing w:after="120" w:line="480" w:lineRule="auto"/>
      <w:ind w:left="420" w:leftChars="200"/>
    </w:pPr>
  </w:style>
  <w:style w:type="paragraph" w:styleId="21">
    <w:name w:val="Balloon Text"/>
    <w:basedOn w:val="1"/>
    <w:link w:val="74"/>
    <w:qFormat/>
    <w:uiPriority w:val="0"/>
    <w:rPr>
      <w:sz w:val="18"/>
      <w:szCs w:val="18"/>
    </w:rPr>
  </w:style>
  <w:style w:type="paragraph" w:styleId="22">
    <w:name w:val="footer"/>
    <w:basedOn w:val="1"/>
    <w:link w:val="70"/>
    <w:qFormat/>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Subtitle"/>
    <w:basedOn w:val="1"/>
    <w:next w:val="1"/>
    <w:qFormat/>
    <w:uiPriority w:val="0"/>
    <w:pPr>
      <w:numPr>
        <w:ilvl w:val="0"/>
        <w:numId w:val="3"/>
      </w:numPr>
      <w:spacing w:line="360" w:lineRule="auto"/>
      <w:jc w:val="left"/>
      <w:outlineLvl w:val="1"/>
    </w:pPr>
    <w:rPr>
      <w:rFonts w:ascii="Calibri Light" w:hAnsi="Calibri Light"/>
      <w:bCs/>
      <w:kern w:val="28"/>
      <w:szCs w:val="32"/>
    </w:rPr>
  </w:style>
  <w:style w:type="paragraph" w:styleId="26">
    <w:name w:val="List"/>
    <w:basedOn w:val="1"/>
    <w:qFormat/>
    <w:uiPriority w:val="0"/>
    <w:pPr>
      <w:ind w:left="420" w:hanging="420"/>
    </w:pPr>
  </w:style>
  <w:style w:type="paragraph" w:styleId="27">
    <w:name w:val="toc 2"/>
    <w:basedOn w:val="1"/>
    <w:next w:val="1"/>
    <w:qFormat/>
    <w:uiPriority w:val="39"/>
    <w:pPr>
      <w:ind w:left="200" w:leftChars="200"/>
    </w:pPr>
  </w:style>
  <w:style w:type="paragraph" w:styleId="2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9">
    <w:name w:val="Title"/>
    <w:basedOn w:val="1"/>
    <w:next w:val="1"/>
    <w:qFormat/>
    <w:uiPriority w:val="0"/>
    <w:pPr>
      <w:numPr>
        <w:ilvl w:val="0"/>
        <w:numId w:val="4"/>
      </w:numPr>
      <w:spacing w:line="360" w:lineRule="auto"/>
      <w:jc w:val="left"/>
      <w:outlineLvl w:val="0"/>
    </w:pPr>
    <w:rPr>
      <w:rFonts w:ascii="Cambria" w:hAnsi="Cambria"/>
      <w:b/>
      <w:bCs/>
      <w:sz w:val="28"/>
      <w:szCs w:val="32"/>
    </w:rPr>
  </w:style>
  <w:style w:type="paragraph" w:styleId="30">
    <w:name w:val="annotation subject"/>
    <w:basedOn w:val="14"/>
    <w:next w:val="14"/>
    <w:link w:val="51"/>
    <w:qFormat/>
    <w:uiPriority w:val="0"/>
    <w:rPr>
      <w:b/>
      <w:bCs/>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4">
    <w:name w:val="Strong"/>
    <w:qFormat/>
    <w:uiPriority w:val="0"/>
    <w:rPr>
      <w:b/>
    </w:rPr>
  </w:style>
  <w:style w:type="character" w:styleId="35">
    <w:name w:val="page number"/>
    <w:basedOn w:val="33"/>
    <w:qFormat/>
    <w:uiPriority w:val="0"/>
  </w:style>
  <w:style w:type="character" w:styleId="36">
    <w:name w:val="FollowedHyperlink"/>
    <w:qFormat/>
    <w:uiPriority w:val="0"/>
    <w:rPr>
      <w:color w:val="333333"/>
      <w:u w:val="none"/>
    </w:rPr>
  </w:style>
  <w:style w:type="character" w:styleId="37">
    <w:name w:val="Emphasis"/>
    <w:qFormat/>
    <w:uiPriority w:val="20"/>
    <w:rPr>
      <w:i/>
      <w:iCs/>
    </w:rPr>
  </w:style>
  <w:style w:type="character" w:styleId="38">
    <w:name w:val="HTML Definition"/>
    <w:qFormat/>
    <w:uiPriority w:val="0"/>
  </w:style>
  <w:style w:type="character" w:styleId="39">
    <w:name w:val="HTML Typewriter"/>
    <w:qFormat/>
    <w:uiPriority w:val="0"/>
    <w:rPr>
      <w:rFonts w:hint="default" w:ascii="Monospace" w:hAnsi="Monospace" w:eastAsia="Monospace" w:cs="Monospace"/>
      <w:sz w:val="20"/>
    </w:rPr>
  </w:style>
  <w:style w:type="character" w:styleId="40">
    <w:name w:val="HTML Acronym"/>
    <w:basedOn w:val="33"/>
    <w:qFormat/>
    <w:uiPriority w:val="0"/>
  </w:style>
  <w:style w:type="character" w:styleId="41">
    <w:name w:val="HTML Variable"/>
    <w:qFormat/>
    <w:uiPriority w:val="0"/>
  </w:style>
  <w:style w:type="character" w:styleId="42">
    <w:name w:val="Hyperlink"/>
    <w:qFormat/>
    <w:uiPriority w:val="99"/>
    <w:rPr>
      <w:color w:val="333333"/>
      <w:u w:val="none"/>
    </w:rPr>
  </w:style>
  <w:style w:type="character" w:styleId="43">
    <w:name w:val="HTML Code"/>
    <w:qFormat/>
    <w:uiPriority w:val="0"/>
    <w:rPr>
      <w:rFonts w:hint="default" w:ascii="Monospace" w:hAnsi="Monospace" w:eastAsia="Monospace" w:cs="Monospace"/>
      <w:sz w:val="20"/>
    </w:rPr>
  </w:style>
  <w:style w:type="character" w:styleId="44">
    <w:name w:val="annotation reference"/>
    <w:qFormat/>
    <w:uiPriority w:val="99"/>
    <w:rPr>
      <w:sz w:val="21"/>
      <w:szCs w:val="21"/>
    </w:rPr>
  </w:style>
  <w:style w:type="character" w:styleId="45">
    <w:name w:val="HTML Cite"/>
    <w:qFormat/>
    <w:uiPriority w:val="0"/>
  </w:style>
  <w:style w:type="character" w:styleId="46">
    <w:name w:val="HTML Keyboard"/>
    <w:qFormat/>
    <w:uiPriority w:val="0"/>
    <w:rPr>
      <w:rFonts w:hint="default" w:ascii="Monospace" w:hAnsi="Monospace" w:eastAsia="Monospace" w:cs="Monospace"/>
      <w:sz w:val="20"/>
    </w:rPr>
  </w:style>
  <w:style w:type="character" w:styleId="47">
    <w:name w:val="HTML Sample"/>
    <w:qFormat/>
    <w:uiPriority w:val="0"/>
    <w:rPr>
      <w:rFonts w:ascii="Monospace" w:hAnsi="Monospace" w:eastAsia="Monospace" w:cs="Monospace"/>
    </w:rPr>
  </w:style>
  <w:style w:type="character" w:customStyle="1" w:styleId="48">
    <w:name w:val="日期 Char"/>
    <w:link w:val="19"/>
    <w:qFormat/>
    <w:uiPriority w:val="0"/>
    <w:rPr>
      <w:rFonts w:ascii="Arial" w:hAnsi="Arial" w:eastAsia="仿宋_GB2312"/>
      <w:color w:val="000000"/>
      <w:kern w:val="2"/>
      <w:sz w:val="32"/>
      <w:u w:color="000000"/>
    </w:rPr>
  </w:style>
  <w:style w:type="character" w:customStyle="1" w:styleId="49">
    <w:name w:val="19"/>
    <w:qFormat/>
    <w:uiPriority w:val="0"/>
    <w:rPr>
      <w:rFonts w:hint="eastAsia" w:ascii="宋体" w:hAnsi="宋体" w:eastAsia="宋体"/>
      <w:color w:val="000000"/>
      <w:sz w:val="20"/>
      <w:szCs w:val="20"/>
    </w:rPr>
  </w:style>
  <w:style w:type="character" w:customStyle="1" w:styleId="50">
    <w:name w:val="标题 6 Char"/>
    <w:link w:val="11"/>
    <w:semiHidden/>
    <w:qFormat/>
    <w:uiPriority w:val="0"/>
    <w:rPr>
      <w:rFonts w:ascii="Cambria" w:hAnsi="Cambria" w:eastAsia="宋体" w:cs="Times New Roman"/>
      <w:b/>
      <w:bCs/>
      <w:kern w:val="2"/>
      <w:sz w:val="24"/>
      <w:szCs w:val="24"/>
    </w:rPr>
  </w:style>
  <w:style w:type="character" w:customStyle="1" w:styleId="51">
    <w:name w:val="批注主题 Char"/>
    <w:link w:val="30"/>
    <w:qFormat/>
    <w:uiPriority w:val="0"/>
    <w:rPr>
      <w:b/>
      <w:bCs/>
      <w:kern w:val="2"/>
      <w:sz w:val="21"/>
      <w:szCs w:val="24"/>
    </w:rPr>
  </w:style>
  <w:style w:type="character" w:customStyle="1" w:styleId="52">
    <w:name w:val="正文首行缩进 2 Char"/>
    <w:basedOn w:val="53"/>
    <w:link w:val="2"/>
    <w:qFormat/>
    <w:uiPriority w:val="0"/>
    <w:rPr>
      <w:kern w:val="2"/>
      <w:sz w:val="21"/>
      <w:szCs w:val="24"/>
    </w:rPr>
  </w:style>
  <w:style w:type="character" w:customStyle="1" w:styleId="53">
    <w:name w:val="正文文本缩进 Char"/>
    <w:link w:val="3"/>
    <w:qFormat/>
    <w:uiPriority w:val="0"/>
    <w:rPr>
      <w:kern w:val="2"/>
      <w:sz w:val="21"/>
      <w:szCs w:val="24"/>
    </w:rPr>
  </w:style>
  <w:style w:type="character" w:customStyle="1" w:styleId="54">
    <w:name w:val="apple-converted-space"/>
    <w:basedOn w:val="33"/>
    <w:qFormat/>
    <w:uiPriority w:val="0"/>
  </w:style>
  <w:style w:type="character" w:customStyle="1" w:styleId="55">
    <w:name w:val="标题 5 Char"/>
    <w:link w:val="10"/>
    <w:semiHidden/>
    <w:qFormat/>
    <w:uiPriority w:val="0"/>
    <w:rPr>
      <w:b/>
      <w:bCs/>
      <w:kern w:val="2"/>
      <w:sz w:val="28"/>
      <w:szCs w:val="28"/>
    </w:rPr>
  </w:style>
  <w:style w:type="character" w:customStyle="1" w:styleId="56">
    <w:name w:val="列出段落 Char"/>
    <w:link w:val="57"/>
    <w:qFormat/>
    <w:locked/>
    <w:uiPriority w:val="0"/>
    <w:rPr>
      <w:rFonts w:ascii="Calibri" w:hAnsi="Calibri" w:eastAsia="宋体"/>
      <w:kern w:val="2"/>
      <w:sz w:val="21"/>
      <w:szCs w:val="22"/>
      <w:lang w:val="en-US" w:eastAsia="zh-CN" w:bidi="ar-SA"/>
    </w:rPr>
  </w:style>
  <w:style w:type="paragraph" w:customStyle="1" w:styleId="57">
    <w:name w:val="List Paragraph1"/>
    <w:basedOn w:val="1"/>
    <w:link w:val="56"/>
    <w:qFormat/>
    <w:uiPriority w:val="0"/>
    <w:pPr>
      <w:spacing w:line="312" w:lineRule="auto"/>
      <w:ind w:firstLine="420" w:firstLineChars="200"/>
    </w:pPr>
    <w:rPr>
      <w:rFonts w:ascii="Calibri" w:hAnsi="Calibri"/>
      <w:szCs w:val="22"/>
    </w:rPr>
  </w:style>
  <w:style w:type="character" w:customStyle="1" w:styleId="58">
    <w:name w:val="图表 Char"/>
    <w:link w:val="59"/>
    <w:qFormat/>
    <w:uiPriority w:val="0"/>
    <w:rPr>
      <w:kern w:val="2"/>
      <w:sz w:val="21"/>
      <w:szCs w:val="21"/>
      <w:lang w:val="en-US" w:eastAsia="zh-CN"/>
    </w:rPr>
  </w:style>
  <w:style w:type="paragraph" w:customStyle="1" w:styleId="59">
    <w:name w:val="图表"/>
    <w:basedOn w:val="1"/>
    <w:next w:val="1"/>
    <w:link w:val="58"/>
    <w:qFormat/>
    <w:uiPriority w:val="0"/>
    <w:pPr>
      <w:jc w:val="center"/>
    </w:pPr>
    <w:rPr>
      <w:szCs w:val="21"/>
    </w:rPr>
  </w:style>
  <w:style w:type="character" w:customStyle="1" w:styleId="60">
    <w:name w:val="【正文】 Char"/>
    <w:link w:val="61"/>
    <w:qFormat/>
    <w:uiPriority w:val="0"/>
    <w:rPr>
      <w:rFonts w:cs="DokChampa"/>
      <w:kern w:val="2"/>
      <w:sz w:val="24"/>
      <w:szCs w:val="22"/>
    </w:rPr>
  </w:style>
  <w:style w:type="paragraph" w:customStyle="1" w:styleId="61">
    <w:name w:val="【正文】"/>
    <w:basedOn w:val="1"/>
    <w:link w:val="60"/>
    <w:qFormat/>
    <w:uiPriority w:val="0"/>
    <w:pPr>
      <w:spacing w:line="360" w:lineRule="auto"/>
      <w:ind w:firstLine="480" w:firstLineChars="200"/>
    </w:pPr>
    <w:rPr>
      <w:sz w:val="24"/>
      <w:szCs w:val="22"/>
    </w:rPr>
  </w:style>
  <w:style w:type="character" w:customStyle="1" w:styleId="62">
    <w:name w:val="标题 1 Char"/>
    <w:link w:val="5"/>
    <w:qFormat/>
    <w:uiPriority w:val="9"/>
    <w:rPr>
      <w:b/>
      <w:bCs/>
      <w:kern w:val="44"/>
      <w:sz w:val="44"/>
      <w:szCs w:val="44"/>
    </w:rPr>
  </w:style>
  <w:style w:type="character" w:customStyle="1" w:styleId="63">
    <w:name w:val="gpa"/>
    <w:qFormat/>
    <w:uiPriority w:val="0"/>
    <w:rPr>
      <w:rFonts w:ascii="Arial" w:hAnsi="Arial" w:cs="Arial"/>
      <w:sz w:val="15"/>
      <w:szCs w:val="15"/>
    </w:rPr>
  </w:style>
  <w:style w:type="character" w:customStyle="1" w:styleId="64">
    <w:name w:val="批注文字 Char"/>
    <w:link w:val="14"/>
    <w:qFormat/>
    <w:uiPriority w:val="99"/>
    <w:rPr>
      <w:kern w:val="2"/>
      <w:sz w:val="21"/>
      <w:szCs w:val="24"/>
    </w:rPr>
  </w:style>
  <w:style w:type="character" w:customStyle="1" w:styleId="65">
    <w:name w:val="displayarti"/>
    <w:qFormat/>
    <w:uiPriority w:val="0"/>
    <w:rPr>
      <w:color w:val="FFFFFF"/>
      <w:shd w:val="clear" w:color="auto" w:fill="A00000"/>
    </w:rPr>
  </w:style>
  <w:style w:type="character" w:customStyle="1" w:styleId="66">
    <w:name w:val="段落正文 字符"/>
    <w:link w:val="67"/>
    <w:qFormat/>
    <w:uiPriority w:val="0"/>
    <w:rPr>
      <w:spacing w:val="2"/>
      <w:sz w:val="24"/>
    </w:rPr>
  </w:style>
  <w:style w:type="paragraph" w:customStyle="1" w:styleId="67">
    <w:name w:val="段落正文"/>
    <w:basedOn w:val="1"/>
    <w:link w:val="66"/>
    <w:qFormat/>
    <w:uiPriority w:val="0"/>
    <w:pPr>
      <w:spacing w:before="156" w:beforeLines="50" w:line="360" w:lineRule="auto"/>
      <w:ind w:firstLine="200" w:firstLineChars="200"/>
    </w:pPr>
    <w:rPr>
      <w:spacing w:val="2"/>
      <w:kern w:val="0"/>
      <w:sz w:val="24"/>
      <w:szCs w:val="20"/>
    </w:rPr>
  </w:style>
  <w:style w:type="character" w:customStyle="1" w:styleId="68">
    <w:name w:val="标题 2 Char"/>
    <w:link w:val="6"/>
    <w:qFormat/>
    <w:uiPriority w:val="0"/>
    <w:rPr>
      <w:sz w:val="24"/>
    </w:rPr>
  </w:style>
  <w:style w:type="character" w:customStyle="1" w:styleId="69">
    <w:name w:val="纯文本 Char"/>
    <w:link w:val="18"/>
    <w:qFormat/>
    <w:uiPriority w:val="0"/>
    <w:rPr>
      <w:rFonts w:ascii="宋体" w:eastAsia="宋体"/>
      <w:color w:val="000000"/>
      <w:kern w:val="2"/>
      <w:sz w:val="21"/>
      <w:u w:color="000000"/>
      <w:lang w:val="en-US" w:eastAsia="zh-CN" w:bidi="ar-SA"/>
    </w:rPr>
  </w:style>
  <w:style w:type="character" w:customStyle="1" w:styleId="70">
    <w:name w:val="页脚 Char"/>
    <w:link w:val="22"/>
    <w:qFormat/>
    <w:uiPriority w:val="0"/>
    <w:rPr>
      <w:kern w:val="2"/>
      <w:sz w:val="18"/>
      <w:szCs w:val="18"/>
    </w:rPr>
  </w:style>
  <w:style w:type="character" w:customStyle="1" w:styleId="71">
    <w:name w:val="标题 7 Char"/>
    <w:link w:val="12"/>
    <w:semiHidden/>
    <w:qFormat/>
    <w:uiPriority w:val="0"/>
    <w:rPr>
      <w:b/>
      <w:bCs/>
      <w:kern w:val="2"/>
      <w:sz w:val="24"/>
      <w:szCs w:val="24"/>
    </w:rPr>
  </w:style>
  <w:style w:type="character" w:customStyle="1" w:styleId="72">
    <w:name w:val="selected"/>
    <w:qFormat/>
    <w:uiPriority w:val="0"/>
    <w:rPr>
      <w:shd w:val="clear" w:color="auto" w:fill="B00006"/>
    </w:rPr>
  </w:style>
  <w:style w:type="character" w:customStyle="1" w:styleId="73">
    <w:name w:val="正文文本缩进 2 Char"/>
    <w:link w:val="20"/>
    <w:qFormat/>
    <w:uiPriority w:val="0"/>
    <w:rPr>
      <w:kern w:val="2"/>
      <w:sz w:val="21"/>
      <w:szCs w:val="24"/>
    </w:rPr>
  </w:style>
  <w:style w:type="character" w:customStyle="1" w:styleId="74">
    <w:name w:val="批注框文本 Char"/>
    <w:link w:val="21"/>
    <w:qFormat/>
    <w:uiPriority w:val="0"/>
    <w:rPr>
      <w:kern w:val="2"/>
      <w:sz w:val="18"/>
      <w:szCs w:val="18"/>
    </w:rPr>
  </w:style>
  <w:style w:type="character" w:customStyle="1" w:styleId="75">
    <w:name w:val="标题 4 Char"/>
    <w:link w:val="9"/>
    <w:qFormat/>
    <w:locked/>
    <w:uiPriority w:val="0"/>
    <w:rPr>
      <w:rFonts w:ascii="Arial" w:hAnsi="Arial" w:eastAsia="黑体"/>
      <w:b/>
      <w:bCs/>
      <w:color w:val="000000"/>
      <w:sz w:val="28"/>
      <w:szCs w:val="28"/>
      <w:u w:color="000000"/>
      <w:lang w:val="en-US" w:eastAsia="zh-CN" w:bidi="ar-SA"/>
    </w:rPr>
  </w:style>
  <w:style w:type="character" w:customStyle="1" w:styleId="76">
    <w:name w:val="列出段落 字符"/>
    <w:qFormat/>
    <w:uiPriority w:val="0"/>
    <w:rPr>
      <w:sz w:val="24"/>
    </w:rPr>
  </w:style>
  <w:style w:type="paragraph" w:customStyle="1" w:styleId="77">
    <w:name w:val="_Style 2"/>
    <w:basedOn w:val="1"/>
    <w:qFormat/>
    <w:uiPriority w:val="0"/>
  </w:style>
  <w:style w:type="paragraph" w:customStyle="1" w:styleId="78">
    <w:name w:val="标题4"/>
    <w:basedOn w:val="1"/>
    <w:qFormat/>
    <w:uiPriority w:val="0"/>
    <w:pPr>
      <w:numPr>
        <w:ilvl w:val="0"/>
        <w:numId w:val="5"/>
      </w:numPr>
      <w:spacing w:line="360" w:lineRule="auto"/>
      <w:ind w:left="720" w:leftChars="300"/>
      <w:jc w:val="left"/>
    </w:pPr>
    <w:rPr>
      <w:rFonts w:ascii="宋体" w:hAnsi="宋体"/>
      <w:sz w:val="18"/>
      <w:szCs w:val="18"/>
    </w:rPr>
  </w:style>
  <w:style w:type="paragraph" w:customStyle="1" w:styleId="79">
    <w:name w:val="Char"/>
    <w:basedOn w:val="1"/>
    <w:qFormat/>
    <w:uiPriority w:val="0"/>
  </w:style>
  <w:style w:type="paragraph" w:customStyle="1" w:styleId="80">
    <w:name w:val="_Style 4"/>
    <w:basedOn w:val="1"/>
    <w:qFormat/>
    <w:uiPriority w:val="34"/>
    <w:pPr>
      <w:adjustRightInd w:val="0"/>
      <w:ind w:firstLine="420" w:firstLineChars="200"/>
      <w:jc w:val="left"/>
      <w:textAlignment w:val="baseline"/>
    </w:pPr>
    <w:rPr>
      <w:kern w:val="0"/>
      <w:szCs w:val="20"/>
    </w:rPr>
  </w:style>
  <w:style w:type="paragraph" w:customStyle="1" w:styleId="81">
    <w:name w:val="Char Char Char Char"/>
    <w:basedOn w:val="1"/>
    <w:qFormat/>
    <w:uiPriority w:val="0"/>
    <w:rPr>
      <w:rFonts w:ascii="Tahoma" w:hAnsi="Tahoma"/>
      <w:sz w:val="24"/>
      <w:szCs w:val="20"/>
    </w:rPr>
  </w:style>
  <w:style w:type="paragraph" w:styleId="82">
    <w:name w:val="List Paragraph"/>
    <w:basedOn w:val="1"/>
    <w:qFormat/>
    <w:uiPriority w:val="0"/>
    <w:pPr>
      <w:spacing w:line="360" w:lineRule="auto"/>
      <w:ind w:firstLine="420" w:firstLineChars="200"/>
    </w:pPr>
    <w:rPr>
      <w:rFonts w:ascii="宋体" w:hAnsi="宋体" w:cs="宋体"/>
      <w:sz w:val="24"/>
    </w:rPr>
  </w:style>
  <w:style w:type="paragraph" w:customStyle="1" w:styleId="83">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84">
    <w:name w:val="2"/>
    <w:basedOn w:val="1"/>
    <w:qFormat/>
    <w:uiPriority w:val="0"/>
    <w:pPr>
      <w:widowControl/>
      <w:adjustRightInd w:val="0"/>
      <w:spacing w:line="420" w:lineRule="atLeast"/>
      <w:ind w:left="1134" w:hanging="227"/>
      <w:jc w:val="left"/>
      <w:textAlignment w:val="baseline"/>
    </w:pPr>
    <w:rPr>
      <w:rFonts w:ascii="宋体" w:hAnsi="宋体" w:cs="宋体"/>
      <w:kern w:val="0"/>
      <w:sz w:val="24"/>
      <w:szCs w:val="20"/>
    </w:rPr>
  </w:style>
  <w:style w:type="paragraph" w:customStyle="1" w:styleId="85">
    <w:name w:val="Char1"/>
    <w:basedOn w:val="1"/>
    <w:next w:val="1"/>
    <w:qFormat/>
    <w:uiPriority w:val="0"/>
    <w:pPr>
      <w:widowControl/>
      <w:spacing w:line="360" w:lineRule="auto"/>
      <w:jc w:val="left"/>
    </w:pPr>
    <w:rPr>
      <w:kern w:val="0"/>
      <w:szCs w:val="20"/>
      <w:lang w:eastAsia="en-US"/>
    </w:rPr>
  </w:style>
  <w:style w:type="paragraph" w:customStyle="1" w:styleId="86">
    <w:name w:val="列出段落11"/>
    <w:basedOn w:val="1"/>
    <w:qFormat/>
    <w:uiPriority w:val="0"/>
    <w:pPr>
      <w:spacing w:after="120" w:line="360" w:lineRule="auto"/>
      <w:ind w:firstLine="420" w:firstLineChars="200"/>
    </w:pPr>
    <w:rPr>
      <w:rFonts w:ascii="Calibri" w:hAnsi="Calibri"/>
      <w:szCs w:val="22"/>
    </w:rPr>
  </w:style>
  <w:style w:type="paragraph" w:customStyle="1" w:styleId="87">
    <w:name w:val="样式1"/>
    <w:basedOn w:val="1"/>
    <w:qFormat/>
    <w:uiPriority w:val="0"/>
    <w:pPr>
      <w:spacing w:line="360" w:lineRule="auto"/>
      <w:jc w:val="center"/>
    </w:pPr>
    <w:rPr>
      <w:b/>
      <w:sz w:val="30"/>
      <w:szCs w:val="30"/>
    </w:rPr>
  </w:style>
  <w:style w:type="paragraph" w:customStyle="1" w:styleId="88">
    <w:name w:val="列表2"/>
    <w:basedOn w:val="1"/>
    <w:next w:val="1"/>
    <w:qFormat/>
    <w:uiPriority w:val="0"/>
    <w:pPr>
      <w:numPr>
        <w:ilvl w:val="0"/>
        <w:numId w:val="6"/>
      </w:numPr>
      <w:spacing w:line="200" w:lineRule="atLeast"/>
    </w:pPr>
    <w:rPr>
      <w:rFonts w:eastAsia="仿宋"/>
      <w:sz w:val="28"/>
    </w:rPr>
  </w:style>
  <w:style w:type="paragraph" w:customStyle="1" w:styleId="89">
    <w:name w:val="p0"/>
    <w:basedOn w:val="1"/>
    <w:qFormat/>
    <w:uiPriority w:val="0"/>
    <w:pPr>
      <w:widowControl/>
      <w:spacing w:line="365" w:lineRule="atLeast"/>
      <w:ind w:left="1"/>
      <w:textAlignment w:val="bottom"/>
    </w:pPr>
    <w:rPr>
      <w:rFonts w:ascii="Calibri" w:hAnsi="Calibri"/>
      <w:kern w:val="0"/>
      <w:sz w:val="20"/>
      <w:szCs w:val="22"/>
    </w:rPr>
  </w:style>
  <w:style w:type="paragraph" w:customStyle="1" w:styleId="90">
    <w:name w:val="列出段落2"/>
    <w:basedOn w:val="1"/>
    <w:qFormat/>
    <w:uiPriority w:val="0"/>
    <w:pPr>
      <w:ind w:firstLine="420" w:firstLineChars="200"/>
    </w:pPr>
    <w:rPr>
      <w:rFonts w:ascii="Calibri" w:hAnsi="Calibri"/>
      <w:szCs w:val="22"/>
    </w:rPr>
  </w:style>
  <w:style w:type="paragraph" w:customStyle="1" w:styleId="91">
    <w:name w:val="（无样式）"/>
    <w:basedOn w:val="1"/>
    <w:qFormat/>
    <w:uiPriority w:val="0"/>
    <w:pPr>
      <w:widowControl/>
      <w:numPr>
        <w:ilvl w:val="0"/>
        <w:numId w:val="7"/>
      </w:numPr>
      <w:spacing w:line="360" w:lineRule="auto"/>
      <w:ind w:firstLine="0"/>
    </w:pPr>
    <w:rPr>
      <w:sz w:val="24"/>
      <w:szCs w:val="20"/>
    </w:rPr>
  </w:style>
  <w:style w:type="paragraph" w:customStyle="1" w:styleId="92">
    <w:name w:val="列出段落1"/>
    <w:basedOn w:val="1"/>
    <w:qFormat/>
    <w:uiPriority w:val="34"/>
    <w:pPr>
      <w:ind w:firstLine="420" w:firstLineChars="200"/>
    </w:pPr>
  </w:style>
  <w:style w:type="paragraph" w:customStyle="1" w:styleId="93">
    <w:name w:val="列表段落1"/>
    <w:basedOn w:val="1"/>
    <w:qFormat/>
    <w:uiPriority w:val="0"/>
    <w:pPr>
      <w:spacing w:line="360" w:lineRule="auto"/>
      <w:ind w:firstLine="420"/>
    </w:pPr>
    <w:rPr>
      <w:color w:val="000000"/>
      <w:sz w:val="24"/>
      <w:szCs w:val="21"/>
    </w:rPr>
  </w:style>
  <w:style w:type="paragraph" w:customStyle="1" w:styleId="94">
    <w:name w:val="Char Char Char Char Char Char Char1 Char"/>
    <w:basedOn w:val="1"/>
    <w:qFormat/>
    <w:uiPriority w:val="0"/>
    <w:rPr>
      <w:rFonts w:ascii="Tahoma" w:hAnsi="Tahoma"/>
      <w:sz w:val="24"/>
      <w:szCs w:val="20"/>
    </w:rPr>
  </w:style>
  <w:style w:type="paragraph" w:customStyle="1" w:styleId="95">
    <w:name w:val="标题3-副本"/>
    <w:basedOn w:val="25"/>
    <w:qFormat/>
    <w:uiPriority w:val="0"/>
    <w:pPr>
      <w:numPr>
        <w:ilvl w:val="0"/>
        <w:numId w:val="0"/>
      </w:numPr>
      <w:ind w:left="840"/>
    </w:pPr>
  </w:style>
  <w:style w:type="paragraph" w:customStyle="1" w:styleId="96">
    <w:name w:val="修订1"/>
    <w:hidden/>
    <w:unhideWhenUsed/>
    <w:qFormat/>
    <w:uiPriority w:val="99"/>
    <w:rPr>
      <w:rFonts w:ascii="Times New Roman" w:hAnsi="Times New Roman" w:eastAsia="宋体" w:cs="Times New Roman"/>
      <w:kern w:val="2"/>
      <w:sz w:val="21"/>
      <w:szCs w:val="24"/>
      <w:lang w:val="en-US" w:eastAsia="zh-CN" w:bidi="ar-SA"/>
    </w:rPr>
  </w:style>
  <w:style w:type="character" w:styleId="97">
    <w:name w:val="Placeholder Text"/>
    <w:basedOn w:val="33"/>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39</Pages>
  <Words>3666</Words>
  <Characters>20897</Characters>
  <Lines>174</Lines>
  <Paragraphs>49</Paragraphs>
  <TotalTime>6</TotalTime>
  <ScaleCrop>false</ScaleCrop>
  <LinksUpToDate>false</LinksUpToDate>
  <CharactersWithSpaces>24514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2020-08-21T03:31:00Z</dcterms:created>
  <dc:creator>陈倩倩</dc:creator>
  <cp:lastModifiedBy>云er飘</cp:lastModifiedBy>
  <cp:lastPrinted>2020-07-20T08:10:00Z</cp:lastPrinted>
  <dcterms:modified xsi:type="dcterms:W3CDTF">2021-04-19T07:02:03Z</dcterms:modified>
  <dc:title>滁州市人力资源和社会保障信息中心信息网络设备采购及安装项目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B28AF600366D4122BBD8554DBB4E78CF</vt:lpwstr>
  </property>
</Properties>
</file>